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6" w:rsidRDefault="00790DD1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5080</wp:posOffset>
            </wp:positionV>
            <wp:extent cx="828675" cy="1028700"/>
            <wp:effectExtent l="19050" t="0" r="9525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176" w:rsidRDefault="00796CC4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-15.85pt;width:205.2pt;height:1in;z-index:251659264" strokecolor="white">
            <v:textbox style="mso-next-textbox:#_x0000_s1027">
              <w:txbxContent>
                <w:p w:rsidR="00CD60B1" w:rsidRPr="00CC4533" w:rsidRDefault="00CD60B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D60B1" w:rsidRPr="00485710" w:rsidRDefault="00CD60B1" w:rsidP="00790DD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CD60B1" w:rsidRPr="00CC4533" w:rsidRDefault="00CD60B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3A2176" w:rsidRDefault="00796CC4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0;margin-top:-31.75pt;width:180pt;height:71.8pt;z-index:251660288" strokecolor="white">
            <v:textbox style="mso-next-textbox:#_x0000_s1028">
              <w:txbxContent>
                <w:p w:rsidR="00CD60B1" w:rsidRDefault="00CD60B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D60B1" w:rsidRPr="00CC4533" w:rsidRDefault="00CD60B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3A2176" w:rsidRDefault="003A2176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1903D7" w:rsidRDefault="001903D7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790DD1" w:rsidRPr="00EB23EC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</w:p>
    <w:p w:rsidR="00790DD1" w:rsidRPr="00C62935" w:rsidRDefault="00DB6140" w:rsidP="00790D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6C5E">
        <w:rPr>
          <w:rFonts w:ascii="Times New Roman" w:hAnsi="Times New Roman"/>
          <w:sz w:val="24"/>
          <w:szCs w:val="24"/>
        </w:rPr>
        <w:t xml:space="preserve">24 октября </w:t>
      </w:r>
      <w:r w:rsidR="00790DD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№  </w:t>
      </w:r>
      <w:r w:rsidR="00316C5E">
        <w:rPr>
          <w:rFonts w:ascii="Times New Roman" w:hAnsi="Times New Roman"/>
          <w:sz w:val="24"/>
          <w:szCs w:val="24"/>
        </w:rPr>
        <w:t>406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841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решения Совета муниципального </w:t>
      </w:r>
      <w:r w:rsidR="00DB6140">
        <w:rPr>
          <w:rFonts w:ascii="Times New Roman" w:hAnsi="Times New Roman"/>
          <w:sz w:val="24"/>
          <w:szCs w:val="24"/>
        </w:rPr>
        <w:t>района «Княжпогостский» от 1</w:t>
      </w:r>
      <w:r w:rsidR="009D27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D275A">
        <w:rPr>
          <w:rFonts w:ascii="Times New Roman" w:hAnsi="Times New Roman"/>
          <w:sz w:val="24"/>
          <w:szCs w:val="24"/>
        </w:rPr>
        <w:t>1</w:t>
      </w:r>
      <w:r w:rsidR="00DB6140">
        <w:rPr>
          <w:rFonts w:ascii="Times New Roman" w:hAnsi="Times New Roman"/>
          <w:sz w:val="24"/>
          <w:szCs w:val="24"/>
        </w:rPr>
        <w:t xml:space="preserve">0.2016 г. № </w:t>
      </w:r>
      <w:r w:rsidR="009D275A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22.12.2015 г. № 30 «О бюджете муниципального района «Княжпогостский» на 2016 год и плановый период 2017 – 2018 годов</w:t>
      </w:r>
      <w:r w:rsidR="00F27BE1">
        <w:rPr>
          <w:rFonts w:ascii="Times New Roman" w:hAnsi="Times New Roman"/>
          <w:sz w:val="24"/>
          <w:szCs w:val="24"/>
        </w:rPr>
        <w:t>»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1. Внести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района «Княжпогостский» от 29 ноября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г. № 841 «Об утверждении муниципальной программы «Развитие отрасли «Культура» в Княжпогостском районе»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постановление)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1.1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316C5E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редакции согласно приложению № 1 к настоящему постановлению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DB6140" w:rsidRDefault="00790DD1" w:rsidP="00DB6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</w:t>
      </w:r>
      <w:r w:rsidR="00DB6140">
        <w:rPr>
          <w:rFonts w:ascii="Times New Roman" w:hAnsi="Times New Roman"/>
          <w:sz w:val="24"/>
          <w:szCs w:val="24"/>
        </w:rPr>
        <w:t xml:space="preserve"> «</w:t>
      </w:r>
      <w:r w:rsidR="009D275A">
        <w:rPr>
          <w:rFonts w:ascii="Times New Roman" w:hAnsi="Times New Roman"/>
          <w:sz w:val="24"/>
          <w:szCs w:val="24"/>
        </w:rPr>
        <w:t>Хозяйственно – техническое обеспечение учреждений</w:t>
      </w:r>
      <w:r w:rsidR="00DB6140">
        <w:rPr>
          <w:rFonts w:ascii="Times New Roman" w:hAnsi="Times New Roman"/>
          <w:sz w:val="24"/>
          <w:szCs w:val="24"/>
        </w:rPr>
        <w:t>»</w:t>
      </w:r>
      <w:r w:rsidR="00DB6140" w:rsidRPr="00DB6140">
        <w:rPr>
          <w:rFonts w:ascii="Times New Roman" w:hAnsi="Times New Roman"/>
          <w:sz w:val="24"/>
          <w:szCs w:val="24"/>
        </w:rPr>
        <w:t xml:space="preserve"> </w:t>
      </w:r>
      <w:r w:rsidR="00DB6140">
        <w:rPr>
          <w:rFonts w:ascii="Times New Roman" w:hAnsi="Times New Roman"/>
          <w:sz w:val="24"/>
          <w:szCs w:val="24"/>
        </w:rPr>
        <w:t>изложить в</w:t>
      </w:r>
      <w:r w:rsidR="00316C5E">
        <w:rPr>
          <w:rFonts w:ascii="Times New Roman" w:hAnsi="Times New Roman"/>
          <w:sz w:val="24"/>
          <w:szCs w:val="24"/>
        </w:rPr>
        <w:t xml:space="preserve"> новой </w:t>
      </w:r>
      <w:r w:rsidR="00DB6140">
        <w:rPr>
          <w:rFonts w:ascii="Times New Roman" w:hAnsi="Times New Roman"/>
          <w:sz w:val="24"/>
          <w:szCs w:val="24"/>
        </w:rPr>
        <w:t xml:space="preserve"> редакции согласно приложению № 2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(таблицу № 6) изложить в</w:t>
      </w:r>
      <w:r w:rsidR="00316C5E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редакции согласно приложению № 3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(таблица 7) изложить в</w:t>
      </w:r>
      <w:r w:rsidR="00316C5E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редакции согласно приложению № 4 к настоящему постановлению.</w:t>
      </w:r>
    </w:p>
    <w:p w:rsidR="00F27BE1" w:rsidRDefault="00790DD1" w:rsidP="00F27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F27B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0DD1" w:rsidRDefault="00F27BE1" w:rsidP="00F27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90DD1" w:rsidRPr="00C6293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E8D" w:rsidRDefault="000D3E8D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C5E" w:rsidRPr="00C62935" w:rsidRDefault="00316C5E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DD1" w:rsidRDefault="0023076E" w:rsidP="00790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790DD1" w:rsidRPr="00C6293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790DD1" w:rsidRPr="00C62935">
        <w:rPr>
          <w:rFonts w:ascii="Times New Roman" w:hAnsi="Times New Roman"/>
          <w:sz w:val="24"/>
          <w:szCs w:val="24"/>
        </w:rPr>
        <w:t xml:space="preserve"> администрации                                          </w:t>
      </w:r>
      <w:r w:rsidR="00790DD1">
        <w:rPr>
          <w:rFonts w:ascii="Times New Roman" w:hAnsi="Times New Roman"/>
          <w:sz w:val="24"/>
          <w:szCs w:val="24"/>
        </w:rPr>
        <w:t xml:space="preserve">                           </w:t>
      </w:r>
      <w:r w:rsidR="00790DD1" w:rsidRPr="00C6293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А.Л. Немчинов</w:t>
      </w:r>
    </w:p>
    <w:p w:rsidR="00790DD1" w:rsidRDefault="00790DD1" w:rsidP="00790DD1">
      <w:pPr>
        <w:spacing w:after="0"/>
        <w:rPr>
          <w:rFonts w:ascii="Times New Roman" w:hAnsi="Times New Roman"/>
          <w:sz w:val="24"/>
          <w:szCs w:val="24"/>
        </w:rPr>
      </w:pPr>
    </w:p>
    <w:p w:rsidR="00316C5E" w:rsidRDefault="00316C5E" w:rsidP="00790DD1">
      <w:pPr>
        <w:spacing w:after="0"/>
        <w:rPr>
          <w:rFonts w:ascii="Times New Roman" w:hAnsi="Times New Roman"/>
          <w:sz w:val="24"/>
          <w:szCs w:val="24"/>
        </w:rPr>
      </w:pPr>
    </w:p>
    <w:p w:rsidR="00316C5E" w:rsidRDefault="00316C5E" w:rsidP="00790DD1">
      <w:pPr>
        <w:spacing w:after="0"/>
        <w:rPr>
          <w:rFonts w:ascii="Times New Roman" w:hAnsi="Times New Roman"/>
          <w:sz w:val="24"/>
          <w:szCs w:val="24"/>
        </w:rPr>
      </w:pPr>
    </w:p>
    <w:p w:rsidR="00316C5E" w:rsidRDefault="00316C5E" w:rsidP="00790DD1">
      <w:pPr>
        <w:spacing w:after="0"/>
        <w:rPr>
          <w:rFonts w:ascii="Times New Roman" w:hAnsi="Times New Roman"/>
        </w:rPr>
      </w:pPr>
    </w:p>
    <w:p w:rsidR="001903D7" w:rsidRDefault="001903D7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 1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Pr="00C62935" w:rsidRDefault="00DB6140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6C5E">
        <w:rPr>
          <w:rFonts w:ascii="Times New Roman" w:hAnsi="Times New Roman"/>
          <w:sz w:val="24"/>
          <w:szCs w:val="24"/>
        </w:rPr>
        <w:t>24 октября</w:t>
      </w:r>
      <w:r w:rsidR="00F27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2016 г.  №  </w:t>
      </w:r>
      <w:r w:rsidR="00316C5E">
        <w:rPr>
          <w:rFonts w:ascii="Times New Roman" w:hAnsi="Times New Roman"/>
          <w:sz w:val="24"/>
          <w:szCs w:val="24"/>
        </w:rPr>
        <w:t>406</w:t>
      </w:r>
      <w:r w:rsidR="00FF72CB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33"/>
      </w:tblGrid>
      <w:tr w:rsidR="00FF72CB" w:rsidRPr="00C62935" w:rsidTr="00F27BE1">
        <w:trPr>
          <w:trHeight w:val="691"/>
        </w:trPr>
        <w:tc>
          <w:tcPr>
            <w:tcW w:w="2766" w:type="dxa"/>
            <w:shd w:val="clear" w:color="auto" w:fill="auto"/>
          </w:tcPr>
          <w:p w:rsidR="00FF72CB" w:rsidRPr="00C62935" w:rsidRDefault="00FF72CB" w:rsidP="00F27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F2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FF72CB" w:rsidRPr="00C62935" w:rsidTr="003C61A3">
        <w:trPr>
          <w:trHeight w:val="1356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EA3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ДО «Детско – юношеская спортивная школа» Княжпогостского района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FF72CB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«Обеспечение деятельности в сфере спортивной ориентации и самоопределения учащихся и молодежи» 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F2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 w:rsidR="00F27BE1"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FF72CB" w:rsidRPr="00C62935" w:rsidTr="00DB6140">
        <w:trPr>
          <w:trHeight w:val="377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FF72CB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2CB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оздание условий для занятий физической культурой и спортом;</w:t>
            </w:r>
          </w:p>
          <w:p w:rsidR="00FF72CB" w:rsidRPr="00C62935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азвитие массового спорта среди молодежи,  лиц с ограниченными возможностями и пожилого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2CB" w:rsidRPr="00C62935" w:rsidTr="003C61A3">
        <w:trPr>
          <w:trHeight w:val="765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FF72CB" w:rsidRPr="00D1066A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FF72CB" w:rsidRPr="00D1066A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FF72CB" w:rsidRPr="00D1066A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проектов;</w:t>
            </w:r>
          </w:p>
          <w:p w:rsidR="00FF72CB" w:rsidRPr="00D1066A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8) количество проводимых физкультурно-спортивных мероприятий на территории муниципального района «Княжпогостский» (единиц);</w:t>
            </w:r>
          </w:p>
          <w:p w:rsidR="00FF72CB" w:rsidRPr="00D1066A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9) численность занимающихся физической культурой и спортом (человек);</w:t>
            </w:r>
          </w:p>
          <w:p w:rsidR="00FF72CB" w:rsidRPr="0099039F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 w:rsidRPr="00D1066A">
              <w:rPr>
                <w:rFonts w:ascii="Times New Roman" w:hAnsi="Times New Roman"/>
                <w:sz w:val="24"/>
                <w:szCs w:val="24"/>
              </w:rPr>
              <w:t>10) количество выездных мероприятий спортивной направленности (единиц).</w:t>
            </w:r>
          </w:p>
        </w:tc>
      </w:tr>
      <w:tr w:rsidR="00FF72CB" w:rsidRPr="00C62935" w:rsidTr="003C61A3">
        <w:trPr>
          <w:trHeight w:val="349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C61A3">
              <w:rPr>
                <w:rFonts w:ascii="Times New Roman" w:hAnsi="Times New Roman"/>
                <w:sz w:val="24"/>
                <w:szCs w:val="24"/>
              </w:rPr>
              <w:t xml:space="preserve">2018 годы потребуется  </w:t>
            </w:r>
            <w:r w:rsidR="00AF6E65">
              <w:rPr>
                <w:rFonts w:ascii="Times New Roman" w:hAnsi="Times New Roman"/>
                <w:sz w:val="24"/>
                <w:szCs w:val="24"/>
              </w:rPr>
              <w:t>348 438,18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1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B6140">
              <w:rPr>
                <w:rFonts w:ascii="Times New Roman" w:hAnsi="Times New Roman"/>
                <w:sz w:val="24"/>
                <w:szCs w:val="24"/>
              </w:rPr>
              <w:br/>
              <w:t xml:space="preserve">2016 год -  </w:t>
            </w:r>
            <w:r w:rsidR="009F3332">
              <w:rPr>
                <w:rFonts w:ascii="Times New Roman" w:hAnsi="Times New Roman"/>
                <w:sz w:val="24"/>
                <w:szCs w:val="24"/>
              </w:rPr>
              <w:t>68 584,44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 год -  69 707,63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-  69 767,63 тыс. рублей.</w:t>
            </w:r>
          </w:p>
          <w:p w:rsidR="00FF72CB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533,49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>убликанского бюджета – 11</w:t>
            </w:r>
            <w:r w:rsidR="003C61A3">
              <w:rPr>
                <w:rFonts w:ascii="Times New Roman" w:hAnsi="Times New Roman"/>
                <w:sz w:val="24"/>
                <w:szCs w:val="24"/>
              </w:rPr>
              <w:t> 075,10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C61A3"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бюджета –</w:t>
            </w:r>
            <w:r w:rsidR="009F3332">
              <w:rPr>
                <w:rFonts w:ascii="Times New Roman" w:hAnsi="Times New Roman"/>
                <w:sz w:val="24"/>
                <w:szCs w:val="24"/>
              </w:rPr>
              <w:t>336 829,59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</w:t>
            </w:r>
            <w:r w:rsidR="009F333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F3332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F3332">
              <w:rPr>
                <w:rFonts w:ascii="Times New Roman" w:hAnsi="Times New Roman"/>
                <w:sz w:val="24"/>
                <w:szCs w:val="24"/>
              </w:rPr>
              <w:t>67 846,84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69 432,78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69 492,78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внебюджетных средств – 0,00 тыс. рублей,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FF72CB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деятельности.   </w:t>
            </w:r>
          </w:p>
          <w:p w:rsidR="00FF72CB" w:rsidRPr="007B2E9D" w:rsidRDefault="001903D7" w:rsidP="003C61A3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="00FF72CB"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традиций Княжпогостского района;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FF72CB" w:rsidRPr="005E5DD2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творчества.</w:t>
            </w:r>
          </w:p>
        </w:tc>
      </w:tr>
    </w:tbl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2016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 w:rsidRPr="00C62935">
        <w:rPr>
          <w:rFonts w:ascii="Times New Roman" w:hAnsi="Times New Roman"/>
          <w:sz w:val="24"/>
          <w:szCs w:val="24"/>
        </w:rPr>
        <w:lastRenderedPageBreak/>
        <w:t>Кроме этого, с 2014 года действует 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2015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71 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FF72CB" w:rsidRPr="00C62935" w:rsidRDefault="00FF72CB" w:rsidP="00FF72C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2015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2015 году на</w:t>
      </w:r>
      <w:r w:rsidRPr="00C62935">
        <w:rPr>
          <w:rFonts w:ascii="Times New Roman" w:hAnsi="Times New Roman"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88,0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 «Музей им. П.Сорокина в с. Туръя» МБУ «Княжпогостский РИКМ». 1 муниципальный музей находи</w:t>
      </w:r>
      <w:r w:rsidRPr="00904859">
        <w:rPr>
          <w:rFonts w:ascii="Times New Roman" w:hAnsi="Times New Roman"/>
          <w:sz w:val="24"/>
          <w:szCs w:val="24"/>
        </w:rPr>
        <w:t>тся в городской местности, 1 - в сельской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5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В целях оптимизации расходов на вспомогательный  и обслуживающий персонал учреждений культуры Княжпогостского района</w:t>
      </w:r>
      <w:r>
        <w:rPr>
          <w:rFonts w:ascii="Times New Roman" w:hAnsi="Times New Roman"/>
          <w:sz w:val="24"/>
          <w:szCs w:val="24"/>
        </w:rPr>
        <w:t xml:space="preserve"> в 2013 году</w:t>
      </w:r>
      <w:r w:rsidRPr="00C62935">
        <w:rPr>
          <w:rFonts w:ascii="Times New Roman" w:hAnsi="Times New Roman"/>
          <w:sz w:val="24"/>
          <w:szCs w:val="24"/>
        </w:rPr>
        <w:t xml:space="preserve"> создано Муниципальное автономное учреждение «Центр хозяйственно – технического обеспечения учреждений Княжпогостского района».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</w:t>
      </w:r>
      <w:r w:rsidRPr="00C62935">
        <w:rPr>
          <w:rFonts w:ascii="Times New Roman" w:hAnsi="Times New Roman"/>
          <w:sz w:val="24"/>
          <w:szCs w:val="24"/>
        </w:rPr>
        <w:lastRenderedPageBreak/>
        <w:t>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Мероприятия Программы согласуются со стратегическими целями в области экономического и социального развития, определенными </w:t>
      </w:r>
      <w:r>
        <w:rPr>
          <w:rFonts w:ascii="Times New Roman" w:hAnsi="Times New Roman"/>
          <w:sz w:val="24"/>
          <w:szCs w:val="24"/>
        </w:rPr>
        <w:t>Стратегией</w:t>
      </w:r>
      <w:r w:rsidRPr="00C62935">
        <w:rPr>
          <w:rFonts w:ascii="Times New Roman" w:hAnsi="Times New Roman"/>
          <w:sz w:val="24"/>
          <w:szCs w:val="24"/>
        </w:rPr>
        <w:t xml:space="preserve"> социально-экономического  развития муниципального района «Княжпогостский»  на период до 2020 года, утвержденной решением Совета муниципальн</w:t>
      </w:r>
      <w:r>
        <w:rPr>
          <w:rFonts w:ascii="Times New Roman" w:hAnsi="Times New Roman"/>
          <w:sz w:val="24"/>
          <w:szCs w:val="24"/>
        </w:rPr>
        <w:t>ого района «Княжпогостский» от 18.0</w:t>
      </w:r>
      <w:r w:rsidRPr="00C62935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282</w:t>
      </w:r>
      <w:r w:rsidRPr="00C62935">
        <w:rPr>
          <w:rFonts w:ascii="Times New Roman" w:hAnsi="Times New Roman"/>
          <w:sz w:val="24"/>
          <w:szCs w:val="24"/>
        </w:rPr>
        <w:t xml:space="preserve">  по следующим направлениям: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FF72CB" w:rsidRPr="002D1D69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Приоритет Программы - развитие инфраструктуры отрасли "Культура" в муниципальном районе «Княжпогостский», соответствующей потребностям современного общества.</w:t>
      </w:r>
    </w:p>
    <w:p w:rsidR="00FF72CB" w:rsidRPr="00C62935" w:rsidRDefault="00FF72CB" w:rsidP="00FF72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качества жизни населения Княжпогостского района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престижности и привлекательности профессий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- обеспечение деятельности в сфере  спортивной ориентации и самоопределения учащихся и молодежи.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9" w:history="1">
        <w:r w:rsidRPr="00C62935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="00E24B75">
        <w:rPr>
          <w:rFonts w:ascii="Times New Roman" w:hAnsi="Times New Roman"/>
          <w:sz w:val="24"/>
          <w:szCs w:val="24"/>
        </w:rPr>
        <w:t xml:space="preserve"> от 27 июля 2010 г. N 210-ФЗ «</w:t>
      </w:r>
      <w:r w:rsidRPr="00C62935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E24B75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C62935">
        <w:rPr>
          <w:rFonts w:ascii="Times New Roman" w:hAnsi="Times New Roman"/>
          <w:sz w:val="24"/>
          <w:szCs w:val="24"/>
        </w:rPr>
        <w:t>), системой электронного документооборота и другими информационными системами.</w:t>
      </w:r>
    </w:p>
    <w:p w:rsidR="00FF72CB" w:rsidRPr="002D1D69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 w:rsidRPr="00C62935">
        <w:rPr>
          <w:rFonts w:ascii="Times New Roman" w:hAnsi="Times New Roman"/>
          <w:sz w:val="24"/>
          <w:szCs w:val="24"/>
        </w:rPr>
        <w:t>1 этап: 2014 -2017 годы;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</w:t>
      </w:r>
      <w:r w:rsidR="0030247C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6,  Федеральным </w:t>
      </w:r>
      <w:hyperlink r:id="rId12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30247C">
        <w:rPr>
          <w:rFonts w:ascii="Times New Roman" w:hAnsi="Times New Roman"/>
          <w:sz w:val="24"/>
          <w:szCs w:val="24"/>
        </w:rPr>
        <w:t xml:space="preserve"> от 29 декабря 1994 г. </w:t>
      </w:r>
      <w:r w:rsidR="00E24B75">
        <w:rPr>
          <w:rFonts w:ascii="Times New Roman" w:hAnsi="Times New Roman"/>
          <w:sz w:val="24"/>
          <w:szCs w:val="24"/>
        </w:rPr>
        <w:t>№</w:t>
      </w:r>
      <w:r w:rsidR="0030247C">
        <w:rPr>
          <w:rFonts w:ascii="Times New Roman" w:hAnsi="Times New Roman"/>
          <w:sz w:val="24"/>
          <w:szCs w:val="24"/>
        </w:rPr>
        <w:t xml:space="preserve"> 78-ФЗ «</w:t>
      </w: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247C">
        <w:rPr>
          <w:rFonts w:ascii="Times New Roman" w:hAnsi="Times New Roman"/>
          <w:sz w:val="24"/>
          <w:szCs w:val="24"/>
        </w:rPr>
        <w:t>библиотечном деле»</w:t>
      </w:r>
      <w:r w:rsidRPr="00C62935">
        <w:rPr>
          <w:rFonts w:ascii="Times New Roman" w:hAnsi="Times New Roman"/>
          <w:sz w:val="24"/>
          <w:szCs w:val="24"/>
        </w:rPr>
        <w:t xml:space="preserve">, Федеральным </w:t>
      </w:r>
      <w:hyperlink r:id="rId13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30247C">
        <w:rPr>
          <w:rFonts w:ascii="Times New Roman" w:hAnsi="Times New Roman"/>
          <w:sz w:val="24"/>
          <w:szCs w:val="24"/>
        </w:rPr>
        <w:t xml:space="preserve"> от 26 мая 1996 г. </w:t>
      </w:r>
      <w:r w:rsidR="00E24B75">
        <w:rPr>
          <w:rFonts w:ascii="Times New Roman" w:hAnsi="Times New Roman"/>
          <w:sz w:val="24"/>
          <w:szCs w:val="24"/>
        </w:rPr>
        <w:t>№</w:t>
      </w:r>
      <w:r w:rsidR="0030247C">
        <w:rPr>
          <w:rFonts w:ascii="Times New Roman" w:hAnsi="Times New Roman"/>
          <w:sz w:val="24"/>
          <w:szCs w:val="24"/>
        </w:rPr>
        <w:t xml:space="preserve"> 54-ФЗ «</w:t>
      </w:r>
      <w:r w:rsidRPr="00C62935">
        <w:rPr>
          <w:rFonts w:ascii="Times New Roman" w:hAnsi="Times New Roman"/>
          <w:sz w:val="24"/>
          <w:szCs w:val="24"/>
        </w:rPr>
        <w:t>О музейном фонде Российской Федерации и музеях в Российской Ф</w:t>
      </w:r>
      <w:r w:rsidR="0030247C">
        <w:rPr>
          <w:rFonts w:ascii="Times New Roman" w:hAnsi="Times New Roman"/>
          <w:sz w:val="24"/>
          <w:szCs w:val="24"/>
        </w:rPr>
        <w:t>едерации»</w:t>
      </w:r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14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1244-р), </w:t>
      </w:r>
      <w:hyperlink r:id="rId1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lastRenderedPageBreak/>
        <w:t>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1662-р), </w:t>
      </w:r>
      <w:hyperlink r:id="rId16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267), </w:t>
      </w:r>
      <w:hyperlink r:id="rId17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1019-р), Национальной </w:t>
      </w:r>
      <w:hyperlink r:id="rId18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</w:t>
      </w:r>
      <w:r w:rsidR="00E24B75"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761), </w:t>
      </w:r>
      <w:hyperlink r:id="rId19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</w:t>
      </w:r>
      <w:r w:rsidR="0030247C">
        <w:rPr>
          <w:rFonts w:ascii="Times New Roman" w:hAnsi="Times New Roman"/>
          <w:sz w:val="24"/>
          <w:szCs w:val="24"/>
        </w:rPr>
        <w:t xml:space="preserve">и от 19 декабря 2012 г. </w:t>
      </w:r>
      <w:r w:rsidR="00E24B75">
        <w:rPr>
          <w:rFonts w:ascii="Times New Roman" w:hAnsi="Times New Roman"/>
          <w:sz w:val="24"/>
          <w:szCs w:val="24"/>
        </w:rPr>
        <w:t>№</w:t>
      </w:r>
      <w:r w:rsidR="0030247C">
        <w:rPr>
          <w:rFonts w:ascii="Times New Roman" w:hAnsi="Times New Roman"/>
          <w:sz w:val="24"/>
          <w:szCs w:val="24"/>
        </w:rPr>
        <w:t xml:space="preserve"> 1666 «</w:t>
      </w:r>
      <w:r w:rsidRPr="00C62935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</w:t>
      </w:r>
      <w:r w:rsidR="0030247C">
        <w:rPr>
          <w:rFonts w:ascii="Times New Roman" w:hAnsi="Times New Roman"/>
          <w:sz w:val="24"/>
          <w:szCs w:val="24"/>
        </w:rPr>
        <w:t>едерации на период до 2025 года»</w:t>
      </w:r>
      <w:r w:rsidRPr="00C62935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20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, законами и иными нормативными правовыми актами Российской Федерации и Республики Коми, </w:t>
      </w:r>
      <w:r w:rsidR="00E24B75">
        <w:rPr>
          <w:rFonts w:ascii="Times New Roman" w:hAnsi="Times New Roman"/>
          <w:sz w:val="24"/>
          <w:szCs w:val="24"/>
        </w:rPr>
        <w:t>Стратегией</w:t>
      </w:r>
      <w:r w:rsidR="00E24B75" w:rsidRPr="00C62935">
        <w:rPr>
          <w:rFonts w:ascii="Times New Roman" w:hAnsi="Times New Roman"/>
          <w:sz w:val="24"/>
          <w:szCs w:val="24"/>
        </w:rPr>
        <w:t xml:space="preserve"> социально-экономического  развития муниципального района «Княжпогостский»  на период до 2020 года, утвержденной решением Совета муниципальн</w:t>
      </w:r>
      <w:r w:rsidR="00E24B75">
        <w:rPr>
          <w:rFonts w:ascii="Times New Roman" w:hAnsi="Times New Roman"/>
          <w:sz w:val="24"/>
          <w:szCs w:val="24"/>
        </w:rPr>
        <w:t>ого района «Княжпогостский» от 18.0</w:t>
      </w:r>
      <w:r w:rsidR="00E24B75" w:rsidRPr="00C62935">
        <w:rPr>
          <w:rFonts w:ascii="Times New Roman" w:hAnsi="Times New Roman"/>
          <w:sz w:val="24"/>
          <w:szCs w:val="24"/>
        </w:rPr>
        <w:t>2.201</w:t>
      </w:r>
      <w:r w:rsidR="00E24B75">
        <w:rPr>
          <w:rFonts w:ascii="Times New Roman" w:hAnsi="Times New Roman"/>
          <w:sz w:val="24"/>
          <w:szCs w:val="24"/>
        </w:rPr>
        <w:t>4</w:t>
      </w:r>
      <w:r w:rsidR="00E24B75" w:rsidRPr="00C62935">
        <w:rPr>
          <w:rFonts w:ascii="Times New Roman" w:hAnsi="Times New Roman"/>
          <w:sz w:val="24"/>
          <w:szCs w:val="24"/>
        </w:rPr>
        <w:t xml:space="preserve"> г. № </w:t>
      </w:r>
      <w:r w:rsidR="00E24B75">
        <w:rPr>
          <w:rFonts w:ascii="Times New Roman" w:hAnsi="Times New Roman"/>
          <w:sz w:val="24"/>
          <w:szCs w:val="24"/>
        </w:rPr>
        <w:t xml:space="preserve">282, </w:t>
      </w:r>
      <w:r w:rsidRPr="00C62935">
        <w:rPr>
          <w:rFonts w:ascii="Times New Roman" w:hAnsi="Times New Roman"/>
          <w:sz w:val="24"/>
          <w:szCs w:val="24"/>
        </w:rPr>
        <w:t xml:space="preserve"> Постановление Правительства РК от 30.12.</w:t>
      </w:r>
      <w:r w:rsidR="0030247C">
        <w:rPr>
          <w:rFonts w:ascii="Times New Roman" w:hAnsi="Times New Roman"/>
          <w:sz w:val="24"/>
          <w:szCs w:val="24"/>
        </w:rPr>
        <w:t xml:space="preserve">2011 </w:t>
      </w:r>
      <w:r w:rsidR="00E24B75">
        <w:rPr>
          <w:rFonts w:ascii="Times New Roman" w:hAnsi="Times New Roman"/>
          <w:sz w:val="24"/>
          <w:szCs w:val="24"/>
        </w:rPr>
        <w:t>№</w:t>
      </w:r>
      <w:r w:rsidR="0030247C">
        <w:rPr>
          <w:rFonts w:ascii="Times New Roman" w:hAnsi="Times New Roman"/>
          <w:sz w:val="24"/>
          <w:szCs w:val="24"/>
        </w:rPr>
        <w:t xml:space="preserve"> 651(ред. от 16.07.2013) «</w:t>
      </w:r>
      <w:r w:rsidRPr="00C62935">
        <w:rPr>
          <w:rFonts w:ascii="Times New Roman" w:hAnsi="Times New Roman"/>
          <w:sz w:val="24"/>
          <w:szCs w:val="24"/>
        </w:rPr>
        <w:t>Об утверждении государстве</w:t>
      </w:r>
      <w:r w:rsidR="0030247C">
        <w:rPr>
          <w:rFonts w:ascii="Times New Roman" w:hAnsi="Times New Roman"/>
          <w:sz w:val="24"/>
          <w:szCs w:val="24"/>
        </w:rPr>
        <w:t>нной программы Республики Коми «Культура Республики Коми».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FF72CB" w:rsidRPr="00C62935" w:rsidRDefault="00796CC4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="00FF72CB"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="00FF72CB"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в приложении 1 к Программе (таблица № 3).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</w:t>
      </w:r>
      <w:r w:rsidRPr="00C62935">
        <w:rPr>
          <w:rFonts w:ascii="Times New Roman" w:hAnsi="Times New Roman"/>
          <w:sz w:val="24"/>
          <w:szCs w:val="24"/>
        </w:rPr>
        <w:lastRenderedPageBreak/>
        <w:t>приложении 1 Программе (таблица № 1).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техническое обеспечение учреждений.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Обеспечение деятельности в сфере спортивной ориентации и самоопределения учащихся и молодежи.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     - внедрение в муниципальных учреждениях информационных технологий;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Ответственный исполнитель Подпрограммы 4 -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Подпрограммы 5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Ответственный исполнитель Подпрограммы 6 – Отде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автономное учреждение «Центр хозяйственно – технического обеспечения» учреждений Княжпогостского района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2E9D">
        <w:rPr>
          <w:rFonts w:ascii="Times New Roman" w:hAnsi="Times New Roman"/>
          <w:sz w:val="24"/>
          <w:szCs w:val="24"/>
        </w:rPr>
        <w:t xml:space="preserve"> Совершенствование системы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</w:t>
      </w:r>
      <w:r w:rsidR="003C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(ДЮСШ).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дополнительного образования «Детско – юношеская спортивная школа» Княжпогостского района.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3C61A3">
        <w:rPr>
          <w:rFonts w:ascii="Times New Roman" w:hAnsi="Times New Roman"/>
          <w:sz w:val="24"/>
          <w:szCs w:val="24"/>
        </w:rPr>
        <w:t xml:space="preserve">018 годы потребуется   </w:t>
      </w:r>
      <w:r w:rsidR="00627F0F">
        <w:rPr>
          <w:rFonts w:ascii="Times New Roman" w:hAnsi="Times New Roman"/>
          <w:sz w:val="24"/>
          <w:szCs w:val="24"/>
        </w:rPr>
        <w:t>348 438,18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FF72CB" w:rsidRPr="00C62935" w:rsidRDefault="003C61A3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год -  </w:t>
      </w:r>
      <w:r w:rsidR="00AF6E65">
        <w:rPr>
          <w:rFonts w:ascii="Times New Roman" w:hAnsi="Times New Roman"/>
          <w:sz w:val="24"/>
          <w:szCs w:val="24"/>
        </w:rPr>
        <w:t>68 584,44</w:t>
      </w:r>
      <w:r w:rsidR="00FF72C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FF72CB" w:rsidRPr="00C62935">
        <w:rPr>
          <w:rFonts w:ascii="Times New Roman" w:hAnsi="Times New Roman"/>
          <w:sz w:val="24"/>
          <w:szCs w:val="24"/>
        </w:rPr>
        <w:br/>
        <w:t>2017 год -  69 707,63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-  69 767,63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счет федеральных средств – 533,49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 w:rsidR="00AF6E65">
        <w:rPr>
          <w:rFonts w:ascii="Times New Roman" w:hAnsi="Times New Roman"/>
          <w:sz w:val="24"/>
          <w:szCs w:val="24"/>
        </w:rPr>
        <w:t xml:space="preserve">                </w:t>
      </w:r>
      <w:r w:rsidR="00AF6E65">
        <w:rPr>
          <w:rFonts w:ascii="Times New Roman" w:hAnsi="Times New Roman"/>
          <w:sz w:val="24"/>
          <w:szCs w:val="24"/>
        </w:rPr>
        <w:br/>
        <w:t xml:space="preserve">2016 год – </w:t>
      </w:r>
      <w:r>
        <w:rPr>
          <w:rFonts w:ascii="Times New Roman" w:hAnsi="Times New Roman"/>
          <w:sz w:val="24"/>
          <w:szCs w:val="24"/>
        </w:rPr>
        <w:t>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AF6E65">
        <w:rPr>
          <w:rFonts w:ascii="Times New Roman" w:hAnsi="Times New Roman"/>
          <w:sz w:val="24"/>
          <w:szCs w:val="24"/>
        </w:rPr>
        <w:t xml:space="preserve">                    </w:t>
      </w:r>
      <w:r w:rsidR="00AF6E65">
        <w:rPr>
          <w:rFonts w:ascii="Times New Roman" w:hAnsi="Times New Roman"/>
          <w:sz w:val="24"/>
          <w:szCs w:val="24"/>
        </w:rPr>
        <w:br/>
        <w:t xml:space="preserve">2017год – </w:t>
      </w:r>
      <w:r w:rsidRPr="00C62935">
        <w:rPr>
          <w:rFonts w:ascii="Times New Roman" w:hAnsi="Times New Roman"/>
          <w:sz w:val="24"/>
          <w:szCs w:val="24"/>
        </w:rPr>
        <w:t>0,00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</w:t>
      </w:r>
      <w:r w:rsidR="003C61A3">
        <w:rPr>
          <w:rFonts w:ascii="Times New Roman" w:hAnsi="Times New Roman"/>
          <w:sz w:val="24"/>
          <w:szCs w:val="24"/>
        </w:rPr>
        <w:t> 075,10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-  256,50 тыс. рублей;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C61A3">
        <w:rPr>
          <w:rFonts w:ascii="Times New Roman" w:hAnsi="Times New Roman"/>
          <w:sz w:val="24"/>
          <w:szCs w:val="24"/>
        </w:rPr>
        <w:t xml:space="preserve">             </w:t>
      </w:r>
      <w:r w:rsidR="003C61A3">
        <w:rPr>
          <w:rFonts w:ascii="Times New Roman" w:hAnsi="Times New Roman"/>
          <w:sz w:val="24"/>
          <w:szCs w:val="24"/>
        </w:rPr>
        <w:br/>
        <w:t>2016 год - 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  <w:t>2017 год - 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муни</w:t>
      </w:r>
      <w:r>
        <w:rPr>
          <w:rFonts w:ascii="Times New Roman" w:hAnsi="Times New Roman"/>
          <w:sz w:val="24"/>
          <w:szCs w:val="24"/>
        </w:rPr>
        <w:t>ципального бюджета –  336</w:t>
      </w:r>
      <w:r w:rsidR="00627F0F">
        <w:rPr>
          <w:rFonts w:ascii="Times New Roman" w:hAnsi="Times New Roman"/>
          <w:sz w:val="24"/>
          <w:szCs w:val="24"/>
        </w:rPr>
        <w:t> 829,59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2016 год – </w:t>
      </w:r>
      <w:r w:rsidR="00AF6E65">
        <w:rPr>
          <w:rFonts w:ascii="Times New Roman" w:hAnsi="Times New Roman"/>
          <w:sz w:val="24"/>
          <w:szCs w:val="24"/>
        </w:rPr>
        <w:t>67 846,84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AF6E65">
        <w:rPr>
          <w:rFonts w:ascii="Times New Roman" w:hAnsi="Times New Roman"/>
          <w:sz w:val="24"/>
          <w:szCs w:val="24"/>
        </w:rPr>
        <w:t xml:space="preserve">             </w:t>
      </w:r>
      <w:r w:rsidR="00AF6E65">
        <w:rPr>
          <w:rFonts w:ascii="Times New Roman" w:hAnsi="Times New Roman"/>
          <w:sz w:val="24"/>
          <w:szCs w:val="24"/>
        </w:rPr>
        <w:br/>
        <w:t xml:space="preserve">2017 год – </w:t>
      </w:r>
      <w:r>
        <w:rPr>
          <w:rFonts w:ascii="Times New Roman" w:hAnsi="Times New Roman"/>
          <w:sz w:val="24"/>
          <w:szCs w:val="24"/>
        </w:rPr>
        <w:t>69 432,78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FF72CB" w:rsidRPr="00C62935" w:rsidRDefault="00AF6E65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="00FF72CB">
        <w:rPr>
          <w:rFonts w:ascii="Times New Roman" w:hAnsi="Times New Roman"/>
          <w:sz w:val="24"/>
          <w:szCs w:val="24"/>
        </w:rPr>
        <w:t>69 492,7</w:t>
      </w:r>
      <w:r>
        <w:rPr>
          <w:rFonts w:ascii="Times New Roman" w:hAnsi="Times New Roman"/>
          <w:sz w:val="24"/>
          <w:szCs w:val="24"/>
        </w:rPr>
        <w:t>8</w:t>
      </w:r>
      <w:r w:rsidR="00FF72CB"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0,00 тыс. рублей;</w:t>
      </w:r>
      <w:r w:rsidRPr="00C62935">
        <w:rPr>
          <w:rFonts w:ascii="Times New Roman" w:hAnsi="Times New Roman"/>
          <w:sz w:val="24"/>
          <w:szCs w:val="24"/>
        </w:rPr>
        <w:br/>
        <w:t>2015год -  0,00  тыс. рублей;</w:t>
      </w:r>
      <w:r w:rsidRPr="00C62935">
        <w:rPr>
          <w:rFonts w:ascii="Times New Roman" w:hAnsi="Times New Roman"/>
          <w:sz w:val="24"/>
          <w:szCs w:val="24"/>
        </w:rPr>
        <w:br/>
        <w:t>2016 год - 0,00  тыс. рублей;</w:t>
      </w:r>
      <w:r w:rsidRPr="00C62935">
        <w:rPr>
          <w:rFonts w:ascii="Times New Roman" w:hAnsi="Times New Roman"/>
          <w:sz w:val="24"/>
          <w:szCs w:val="24"/>
        </w:rPr>
        <w:br/>
        <w:t xml:space="preserve">2017 год -  0,00  тыс.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53"/>
      </w:tblGrid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FF72CB" w:rsidRPr="00670503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3C61A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3C61A3" w:rsidRDefault="003C61A3" w:rsidP="003C61A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</w:t>
      </w:r>
      <w:r w:rsidRPr="00C62935">
        <w:rPr>
          <w:rFonts w:ascii="Times New Roman" w:hAnsi="Times New Roman"/>
          <w:sz w:val="24"/>
          <w:szCs w:val="24"/>
        </w:rPr>
        <w:lastRenderedPageBreak/>
        <w:t>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</w:t>
      </w:r>
      <w:r w:rsidRPr="00C62935">
        <w:rPr>
          <w:rFonts w:ascii="Times New Roman" w:hAnsi="Times New Roman" w:cs="Arial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B1" w:rsidRDefault="00CD60B1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B1" w:rsidRDefault="00CD60B1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B1" w:rsidRDefault="00CD60B1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B1" w:rsidRDefault="00CD60B1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5A" w:rsidRPr="00C62935" w:rsidRDefault="009D275A" w:rsidP="009D27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D275A" w:rsidRPr="00C62935" w:rsidRDefault="009D275A" w:rsidP="009D275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D275A" w:rsidRPr="00C62935" w:rsidRDefault="009D275A" w:rsidP="009D275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D275A" w:rsidRPr="00C62935" w:rsidRDefault="009D275A" w:rsidP="009D275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6C5E">
        <w:rPr>
          <w:rFonts w:ascii="Times New Roman" w:hAnsi="Times New Roman"/>
          <w:sz w:val="24"/>
          <w:szCs w:val="24"/>
        </w:rPr>
        <w:t>24 октября 2016 г.  №  406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подпрограммы "Хозяйственно-техническое обеспечение учреждений»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796"/>
      </w:tblGrid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Название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C62935">
              <w:rPr>
                <w:rFonts w:ascii="Times New Roman" w:hAnsi="Times New Roman"/>
                <w:bCs/>
              </w:rPr>
              <w:t>"Хозяйственно-техническое обеспечение учреждений»</w:t>
            </w:r>
          </w:p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 (далее - Подпрограмма 6)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Ответственный исполнитель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Отдел культуры и </w:t>
            </w:r>
            <w:r>
              <w:rPr>
                <w:rFonts w:ascii="Times New Roman" w:hAnsi="Times New Roman"/>
              </w:rPr>
              <w:t>спорта</w:t>
            </w:r>
            <w:r w:rsidRPr="00C62935">
              <w:rPr>
                <w:rFonts w:ascii="Times New Roman" w:hAnsi="Times New Roman"/>
              </w:rPr>
              <w:t xml:space="preserve"> администрации муниципального района «Княжпогостский»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Соисполнители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-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Программно-целевые инструменты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-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Цель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Хозяйственно-техническое обслуживание учреждений культуры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Задачи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62935">
              <w:rPr>
                <w:rFonts w:ascii="Arial" w:hAnsi="Arial" w:cs="Arial"/>
                <w:iCs/>
              </w:rPr>
              <w:t xml:space="preserve">- </w:t>
            </w:r>
            <w:r w:rsidRPr="00C62935">
              <w:rPr>
                <w:rFonts w:ascii="Times New Roman" w:hAnsi="Times New Roman"/>
                <w:iCs/>
              </w:rPr>
              <w:t>Техническое обслуживание, эксплуатация и содержание зданий;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  <w:iCs/>
              </w:rPr>
            </w:pPr>
            <w:r w:rsidRPr="00C62935">
              <w:t xml:space="preserve">-  </w:t>
            </w:r>
            <w:r w:rsidRPr="00C62935">
              <w:rPr>
                <w:rFonts w:ascii="Times New Roman" w:hAnsi="Times New Roman"/>
              </w:rPr>
              <w:t>Б</w:t>
            </w:r>
            <w:r w:rsidRPr="00C62935">
              <w:rPr>
                <w:rFonts w:ascii="Times New Roman" w:hAnsi="Times New Roman"/>
                <w:iCs/>
              </w:rPr>
              <w:t>лагоустройство прилегающих к зданиям территорий, содержание их в надлежащем санитарно-техническом состоянии;</w:t>
            </w:r>
          </w:p>
          <w:p w:rsidR="009D275A" w:rsidRPr="00C62935" w:rsidRDefault="009D275A" w:rsidP="009F3332">
            <w:pPr>
              <w:spacing w:after="0"/>
            </w:pPr>
            <w:r w:rsidRPr="00C62935">
              <w:rPr>
                <w:rFonts w:ascii="Times New Roman" w:hAnsi="Times New Roman"/>
                <w:iCs/>
              </w:rPr>
              <w:t>-Услуги по чистке и уборке служебных помещений.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Целевые индикаторы и показатели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 w:cs="Arial"/>
              </w:rPr>
              <w:t>- доля учреждений культуры охваченных хозяйственно-техническим обслуживанием.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Сроки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1 этап - 2014-2017 годы;</w:t>
            </w:r>
          </w:p>
          <w:p w:rsidR="009D275A" w:rsidRPr="00C62935" w:rsidRDefault="009D275A" w:rsidP="009F3332">
            <w:pPr>
              <w:spacing w:after="0"/>
            </w:pPr>
            <w:r w:rsidRPr="00C62935">
              <w:rPr>
                <w:rFonts w:ascii="Times New Roman" w:hAnsi="Times New Roman"/>
              </w:rPr>
              <w:t>2 этап -   2018- 2020 годы.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Объемы финансирования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На реализацию Подпрограммы 6 на 20</w:t>
            </w:r>
            <w:r>
              <w:rPr>
                <w:rFonts w:ascii="Times New Roman" w:hAnsi="Times New Roman"/>
              </w:rPr>
              <w:t xml:space="preserve">14- 2018 годы   потребуется </w:t>
            </w:r>
            <w:r w:rsidR="00EA575F">
              <w:rPr>
                <w:rFonts w:ascii="Times New Roman" w:hAnsi="Times New Roman"/>
              </w:rPr>
              <w:t>50 416,14</w:t>
            </w:r>
            <w:r w:rsidRPr="00C62935">
              <w:rPr>
                <w:rFonts w:ascii="Times New Roman" w:hAnsi="Times New Roman"/>
              </w:rPr>
              <w:t xml:space="preserve"> тыс. рублей, в том числе по годам: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2014 год – 8 214,05 тыс. рублей;</w:t>
            </w:r>
          </w:p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2015 год – 10 512,39 тыс. 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2016 год – </w:t>
            </w:r>
            <w:r>
              <w:rPr>
                <w:rFonts w:ascii="Times New Roman" w:hAnsi="Times New Roman"/>
              </w:rPr>
              <w:t>10 </w:t>
            </w:r>
            <w:r w:rsidR="002863B4">
              <w:rPr>
                <w:rFonts w:ascii="Times New Roman" w:hAnsi="Times New Roman"/>
              </w:rPr>
              <w:t>92</w:t>
            </w:r>
            <w:r w:rsidRPr="00C62935">
              <w:rPr>
                <w:rFonts w:ascii="Times New Roman" w:hAnsi="Times New Roman"/>
              </w:rPr>
              <w:t>9,90 тыс. 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2017 год – 10 379,90 тыс. 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2018 год – 10 379,90 тыс. рублей.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- за счет федеральных средств – 0,00  тыс. рублей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  в том числе по годам:  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2014 год – 0,00 тыс. рублей;                             </w:t>
            </w:r>
            <w:r w:rsidRPr="00C62935">
              <w:rPr>
                <w:rFonts w:ascii="Times New Roman" w:hAnsi="Times New Roman"/>
              </w:rPr>
              <w:br/>
              <w:t xml:space="preserve">2015 год – 0,00 тыс. рублей;                    </w:t>
            </w:r>
            <w:r w:rsidRPr="00C62935">
              <w:rPr>
                <w:rFonts w:ascii="Times New Roman" w:hAnsi="Times New Roman"/>
              </w:rPr>
              <w:br/>
              <w:t xml:space="preserve">2016 год -  0,00 тыс. рублей;                    </w:t>
            </w:r>
            <w:r w:rsidRPr="00C62935">
              <w:rPr>
                <w:rFonts w:ascii="Times New Roman" w:hAnsi="Times New Roman"/>
              </w:rPr>
              <w:br/>
              <w:t>2017год -  0,00 тыс. рублей;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2018 год – 0,00 тыс. рублей.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 - за счет средств республиканского бюджета – 0,00 тыс. рублей.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в том числе по годам:     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2014 год – 0,00 тыс. рублей;                          </w:t>
            </w:r>
            <w:r w:rsidRPr="00C62935">
              <w:rPr>
                <w:rFonts w:ascii="Times New Roman" w:hAnsi="Times New Roman"/>
              </w:rPr>
              <w:br/>
              <w:t xml:space="preserve">2015 год -  0,00   тыс. рублей;                    </w:t>
            </w:r>
            <w:r w:rsidRPr="00C62935">
              <w:rPr>
                <w:rFonts w:ascii="Times New Roman" w:hAnsi="Times New Roman"/>
              </w:rPr>
              <w:br/>
              <w:t xml:space="preserve">2016 год -  0,00  тыс. рублей;                    </w:t>
            </w:r>
            <w:r w:rsidRPr="00C62935">
              <w:rPr>
                <w:rFonts w:ascii="Times New Roman" w:hAnsi="Times New Roman"/>
              </w:rPr>
              <w:br/>
              <w:t>2017 год -  0,00  тыс. рублей;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2018 год – 0,00 тыс. рублей.</w:t>
            </w:r>
          </w:p>
          <w:p w:rsidR="009D275A" w:rsidRPr="00C62935" w:rsidRDefault="009D275A" w:rsidP="009F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- за счет средс</w:t>
            </w:r>
            <w:r>
              <w:rPr>
                <w:rFonts w:ascii="Times New Roman" w:hAnsi="Times New Roman"/>
              </w:rPr>
              <w:t>тв муниципального бюджета – 49 7</w:t>
            </w:r>
            <w:r w:rsidRPr="00C62935">
              <w:rPr>
                <w:rFonts w:ascii="Times New Roman" w:hAnsi="Times New Roman"/>
              </w:rPr>
              <w:t xml:space="preserve">66,14 тыс. рублей,                                                </w:t>
            </w:r>
            <w:r w:rsidRPr="00C62935">
              <w:rPr>
                <w:rFonts w:ascii="Times New Roman" w:hAnsi="Times New Roman"/>
              </w:rPr>
              <w:br/>
              <w:t xml:space="preserve">в том числе по годам:     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2014 год – 8 214,05 тыс. рублей;</w:t>
            </w:r>
          </w:p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2015 год – 10 512,39 тыс. 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2016 год – </w:t>
            </w:r>
            <w:r>
              <w:rPr>
                <w:rFonts w:ascii="Times New Roman" w:hAnsi="Times New Roman"/>
              </w:rPr>
              <w:t>10 </w:t>
            </w:r>
            <w:r w:rsidR="002863B4">
              <w:rPr>
                <w:rFonts w:ascii="Times New Roman" w:hAnsi="Times New Roman"/>
              </w:rPr>
              <w:t>92</w:t>
            </w:r>
            <w:r w:rsidRPr="00C62935">
              <w:rPr>
                <w:rFonts w:ascii="Times New Roman" w:hAnsi="Times New Roman"/>
              </w:rPr>
              <w:t>9,90 тыс. 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2017 год – 10 379,90 тыс. рублей;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2018 год – 10 379,90 тыс. рублей.</w:t>
            </w:r>
          </w:p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- за счет внебюджетных средств – 0,00 тыс. рублей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в том числе по годам: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>2014 год – 0,00 тыс. рублей;</w:t>
            </w:r>
            <w:r w:rsidRPr="00C62935">
              <w:rPr>
                <w:rFonts w:ascii="Times New Roman" w:hAnsi="Times New Roman"/>
              </w:rPr>
              <w:br/>
            </w:r>
            <w:r w:rsidRPr="00C62935">
              <w:rPr>
                <w:rFonts w:ascii="Times New Roman" w:hAnsi="Times New Roman"/>
              </w:rPr>
              <w:lastRenderedPageBreak/>
              <w:t>2014год -  0,00 тыс. рублей;</w:t>
            </w:r>
            <w:r w:rsidRPr="00C62935">
              <w:rPr>
                <w:rFonts w:ascii="Times New Roman" w:hAnsi="Times New Roman"/>
              </w:rPr>
              <w:br/>
              <w:t>2015 год – 0,00 тыс. рублей;</w:t>
            </w:r>
            <w:r w:rsidRPr="00C62935">
              <w:rPr>
                <w:rFonts w:ascii="Times New Roman" w:hAnsi="Times New Roman"/>
              </w:rPr>
              <w:br/>
              <w:t>2016 год -  0,00 тыс. рублей.</w:t>
            </w:r>
          </w:p>
          <w:p w:rsidR="009D275A" w:rsidRPr="00C62935" w:rsidRDefault="009D275A" w:rsidP="009F3332">
            <w:pPr>
              <w:spacing w:after="0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2018 год – 0,00 тыс. рублей. </w:t>
            </w:r>
          </w:p>
        </w:tc>
      </w:tr>
      <w:tr w:rsidR="009D275A" w:rsidRPr="00C62935" w:rsidTr="009F33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62935">
              <w:rPr>
                <w:rFonts w:ascii="Times New Roman" w:hAnsi="Times New Roman"/>
              </w:rPr>
              <w:t xml:space="preserve">На первом этапе выполнения Подпрограммы 6 ожидается </w:t>
            </w:r>
            <w:r w:rsidRPr="00C62935">
              <w:rPr>
                <w:rFonts w:ascii="Times New Roman" w:hAnsi="Times New Roman" w:cs="Arial"/>
              </w:rPr>
              <w:t>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      </w:r>
          </w:p>
          <w:p w:rsidR="009D275A" w:rsidRPr="00C62935" w:rsidRDefault="009D275A" w:rsidP="009F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935">
              <w:rPr>
                <w:rFonts w:ascii="Times New Roman" w:hAnsi="Times New Roman"/>
              </w:rPr>
              <w:t xml:space="preserve"> 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      </w:r>
          </w:p>
        </w:tc>
      </w:tr>
    </w:tbl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 Характеристика сферы реализации Подпрограммы 6, описание основных проблем в указанной сфере и прогноз ее развития</w:t>
      </w:r>
    </w:p>
    <w:p w:rsidR="009D275A" w:rsidRPr="00C62935" w:rsidRDefault="009D275A" w:rsidP="009D2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создано муниципальное автономное учреждение «Центр хозяйственно-технического обеспечения учреждений Княжпогостского района», Постановлением администрации муниципального района «Княжпогостский» от 12 декабря 2013 г. № 891. (далее –  «Центр ХТО»)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органов местного самоуправления в области культуры, повышения эффективности бюджетных расходов предусматривается выделение Подпрограммы 6.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 Приоритеты муниципальной политики в сфере реализации Подпрограммы 6, описание основных целей и задач Подпрограммы 6.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приоритетами Подпрограммы 6 являются: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муниципального задания в соответствии с действующим законодательством.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соответствии с указанными приоритетами определена следующая цель Подпрограммы 6 - обеспечение реализации основных мероприятий Программы в соответствии с установленными сроками и этапами.</w:t>
      </w:r>
    </w:p>
    <w:p w:rsidR="009D275A" w:rsidRPr="00C62935" w:rsidRDefault="009D275A" w:rsidP="009D275A">
      <w:pPr>
        <w:tabs>
          <w:tab w:val="left" w:pos="41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Техническое обслуживание, эксплуатация и содержание зданий;</w:t>
      </w:r>
    </w:p>
    <w:p w:rsidR="009D275A" w:rsidRPr="00C62935" w:rsidRDefault="009D275A" w:rsidP="009D275A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62935">
        <w:t xml:space="preserve">-  </w:t>
      </w:r>
      <w:r w:rsidRPr="00C62935">
        <w:rPr>
          <w:rFonts w:ascii="Times New Roman" w:hAnsi="Times New Roman"/>
          <w:sz w:val="24"/>
          <w:szCs w:val="24"/>
        </w:rPr>
        <w:t>Б</w:t>
      </w:r>
      <w:r w:rsidRPr="00C62935">
        <w:rPr>
          <w:rFonts w:ascii="Times New Roman" w:hAnsi="Times New Roman"/>
          <w:iCs/>
          <w:sz w:val="24"/>
          <w:szCs w:val="24"/>
        </w:rPr>
        <w:t>лагоустройство прилегающих к зданиям территорий, содержание их в надлежащем санитарно-техническом состоянии;</w:t>
      </w:r>
    </w:p>
    <w:p w:rsidR="009D275A" w:rsidRPr="00C62935" w:rsidRDefault="009D275A" w:rsidP="009D27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iCs/>
          <w:sz w:val="24"/>
          <w:szCs w:val="24"/>
        </w:rPr>
        <w:t>-Услуги по чистке и уборке служебных помещений.</w:t>
      </w:r>
    </w:p>
    <w:p w:rsidR="009D275A" w:rsidRPr="00C62935" w:rsidRDefault="009D275A" w:rsidP="009D275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9D275A" w:rsidRPr="00C62935" w:rsidRDefault="009D275A" w:rsidP="009D275A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 </w:t>
      </w:r>
      <w:r w:rsidRPr="00C62935">
        <w:rPr>
          <w:rFonts w:ascii="Times New Roman" w:hAnsi="Times New Roman"/>
          <w:sz w:val="24"/>
          <w:szCs w:val="24"/>
        </w:rPr>
        <w:t>- 1 этап –  2014- 2017 годы;</w:t>
      </w:r>
    </w:p>
    <w:p w:rsidR="009D275A" w:rsidRPr="00C62935" w:rsidRDefault="009D275A" w:rsidP="009D275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2 этап – 2018- 2020 годы.</w:t>
      </w:r>
    </w:p>
    <w:p w:rsidR="009D275A" w:rsidRPr="00C62935" w:rsidRDefault="009D275A" w:rsidP="009D275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 6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Подпрограмма 6 предусматривает следующие мероприятия: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Выполнение муниципального задания.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Перечень основных мероприятий Подпрограммы 6 с указанием сроков их реализацией, ожидаемых результатов и связи с показателями Программы и подпрограмм представлен в приложении 1 к настоящей Программе (</w:t>
      </w:r>
      <w:hyperlink r:id="rId32" w:anchor="sub_10200#sub_102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2</w:t>
        </w:r>
      </w:hyperlink>
      <w:r w:rsidRPr="00C62935">
        <w:rPr>
          <w:rFonts w:ascii="Times New Roman" w:hAnsi="Times New Roman"/>
          <w:sz w:val="24"/>
          <w:szCs w:val="24"/>
        </w:rPr>
        <w:t>).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6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33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статьями 6</w:t>
        </w:r>
      </w:hyperlink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8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Закона Республики Коми от 10 ноября 2005 г. N 113-РЗ "О налоговых льготах на территории Республики Коми и внесении изменений в некоторые законодательные акты по вопросу о </w:t>
      </w:r>
      <w:r w:rsidRPr="00C62935">
        <w:rPr>
          <w:rFonts w:ascii="Times New Roman" w:hAnsi="Times New Roman"/>
          <w:sz w:val="24"/>
          <w:szCs w:val="24"/>
        </w:rPr>
        <w:lastRenderedPageBreak/>
        <w:t>налоговых льготах". Оценка применения мер муниципального регулирования в сфере реализации муниципальной  программы  изложена в приложении 1 к Программе (</w:t>
      </w:r>
      <w:hyperlink r:id="rId35" w:anchor="sub_10300#sub_10300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таблица 3</w:t>
        </w:r>
      </w:hyperlink>
      <w:r w:rsidRPr="00C62935">
        <w:rPr>
          <w:rFonts w:ascii="Times New Roman" w:hAnsi="Times New Roman"/>
          <w:sz w:val="24"/>
          <w:szCs w:val="24"/>
        </w:rPr>
        <w:t>).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 Прогноз конечных результатов Подпрограммы 6. Перечень целевых индикаторов и показателей Подпрограммы.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C62935">
        <w:rPr>
          <w:rFonts w:ascii="Times New Roman" w:eastAsia="Calibri" w:hAnsi="Times New Roman"/>
          <w:bCs/>
          <w:sz w:val="24"/>
          <w:szCs w:val="24"/>
        </w:rPr>
        <w:t>Реализация  мероприятий Подпрограммы 6 позволит достичь следующих основных результатов: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1. 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Ожидаемые результаты реализации Подпрограммы 6.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1) доля учреждений культуры охваченных хозяйственно-техническим обслуживанием.</w:t>
      </w:r>
    </w:p>
    <w:p w:rsidR="009D275A" w:rsidRPr="00C62935" w:rsidRDefault="009D275A" w:rsidP="009D27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целом реализация Подпрограммы 6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Программы.</w:t>
      </w:r>
    </w:p>
    <w:p w:rsidR="009D275A" w:rsidRPr="00C62935" w:rsidRDefault="009D275A" w:rsidP="009D27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9D275A" w:rsidRPr="00C62935" w:rsidRDefault="009D275A" w:rsidP="009D27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  <w:t xml:space="preserve">Общий объем финансирования подпрограммы в 2014-2018 годах составляет </w:t>
      </w:r>
      <w:r w:rsidR="00EA575F">
        <w:rPr>
          <w:rFonts w:ascii="Times New Roman" w:eastAsia="PMingLiU" w:hAnsi="Times New Roman"/>
          <w:sz w:val="24"/>
          <w:szCs w:val="24"/>
          <w:lang w:eastAsia="zh-TW"/>
        </w:rPr>
        <w:t>50 416,14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9D275A" w:rsidRPr="00C62935" w:rsidRDefault="009D275A" w:rsidP="009D27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12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800"/>
        <w:gridCol w:w="2545"/>
        <w:gridCol w:w="1827"/>
        <w:gridCol w:w="1620"/>
      </w:tblGrid>
      <w:tr w:rsidR="009D275A" w:rsidRPr="00C62935" w:rsidTr="009F3332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80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9D275A" w:rsidRPr="00C62935" w:rsidRDefault="009D275A" w:rsidP="00EA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A575F">
              <w:rPr>
                <w:rFonts w:ascii="Times New Roman" w:hAnsi="Times New Roman"/>
                <w:sz w:val="24"/>
                <w:szCs w:val="24"/>
              </w:rPr>
              <w:t>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80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D275A" w:rsidRPr="00C62935" w:rsidRDefault="009D275A" w:rsidP="00EA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A575F">
              <w:rPr>
                <w:rFonts w:ascii="Times New Roman" w:hAnsi="Times New Roman"/>
                <w:sz w:val="24"/>
                <w:szCs w:val="24"/>
              </w:rPr>
              <w:t>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10 379,90</w:t>
            </w:r>
          </w:p>
        </w:tc>
        <w:tc>
          <w:tcPr>
            <w:tcW w:w="180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10 379,90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9D275A" w:rsidRPr="00C62935" w:rsidRDefault="00EA575F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9D275A" w:rsidRPr="00C62935">
              <w:rPr>
                <w:rFonts w:ascii="Times New Roman" w:hAnsi="Times New Roman"/>
                <w:sz w:val="24"/>
                <w:szCs w:val="24"/>
              </w:rPr>
              <w:t>379,90</w:t>
            </w:r>
          </w:p>
        </w:tc>
        <w:tc>
          <w:tcPr>
            <w:tcW w:w="180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10 379,90</w:t>
            </w:r>
          </w:p>
        </w:tc>
      </w:tr>
      <w:tr w:rsidR="009D275A" w:rsidRPr="00C62935" w:rsidTr="009F3332">
        <w:trPr>
          <w:jc w:val="center"/>
        </w:trPr>
        <w:tc>
          <w:tcPr>
            <w:tcW w:w="126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shd w:val="clear" w:color="auto" w:fill="auto"/>
          </w:tcPr>
          <w:p w:rsidR="009D275A" w:rsidRPr="00C62935" w:rsidRDefault="00EA575F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50 416,14</w:t>
            </w:r>
          </w:p>
        </w:tc>
        <w:tc>
          <w:tcPr>
            <w:tcW w:w="1800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9D275A" w:rsidRPr="00C62935" w:rsidRDefault="009D275A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D275A" w:rsidRPr="00C62935" w:rsidRDefault="00EA575F" w:rsidP="009F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50 416,14</w:t>
            </w:r>
          </w:p>
        </w:tc>
      </w:tr>
    </w:tbl>
    <w:p w:rsidR="009D275A" w:rsidRPr="00C62935" w:rsidRDefault="009D275A" w:rsidP="009D275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 Методика оценки эффективности Подпрограммы 6</w:t>
      </w:r>
    </w:p>
    <w:p w:rsidR="009D275A" w:rsidRPr="00C62935" w:rsidRDefault="009D275A" w:rsidP="009D275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6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62935">
        <w:rPr>
          <w:rFonts w:ascii="Times New Roman" w:hAnsi="Times New Roman"/>
          <w:sz w:val="24"/>
          <w:szCs w:val="24"/>
        </w:rPr>
        <w:t xml:space="preserve">производится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в соответствии с методикой оценки эффективности реализации Программы, изложенной в </w:t>
      </w:r>
      <w:hyperlink r:id="rId36" w:anchor="sub_1009#sub_1009" w:history="1">
        <w:r w:rsidRPr="00C62935">
          <w:rPr>
            <w:rFonts w:ascii="Times New Roman" w:hAnsi="Times New Roman"/>
            <w:color w:val="106BBE"/>
            <w:sz w:val="24"/>
            <w:szCs w:val="24"/>
          </w:rPr>
          <w:t>разделе IX</w:t>
        </w:r>
      </w:hyperlink>
      <w:r w:rsidRPr="00C62935">
        <w:rPr>
          <w:rFonts w:ascii="Times New Roman" w:hAnsi="Times New Roman"/>
          <w:sz w:val="24"/>
          <w:szCs w:val="24"/>
        </w:rPr>
        <w:t xml:space="preserve"> "Методика оценки эффективности Программы" Программы.</w:t>
      </w:r>
    </w:p>
    <w:p w:rsidR="009D275A" w:rsidRDefault="009D275A" w:rsidP="009D2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5A" w:rsidRDefault="009D275A" w:rsidP="009D2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5A" w:rsidRPr="00C62935" w:rsidRDefault="009D275A" w:rsidP="009D275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.</w:t>
      </w:r>
    </w:p>
    <w:p w:rsidR="00FF72CB" w:rsidRDefault="00FF72CB" w:rsidP="00FF72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  <w:sectPr w:rsidR="00FF72CB" w:rsidSect="001A66D0">
          <w:headerReference w:type="even" r:id="rId37"/>
          <w:headerReference w:type="default" r:id="rId38"/>
          <w:footerReference w:type="default" r:id="rId39"/>
          <w:footerReference w:type="first" r:id="rId40"/>
          <w:pgSz w:w="11905" w:h="16838" w:code="9"/>
          <w:pgMar w:top="142" w:right="794" w:bottom="0" w:left="1418" w:header="283" w:footer="283" w:gutter="0"/>
          <w:pgNumType w:start="1"/>
          <w:cols w:space="720"/>
          <w:noEndnote/>
          <w:titlePg/>
          <w:docGrid w:linePitch="299"/>
        </w:sect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B224AC" w:rsidSect="001A66D0">
      <w:headerReference w:type="default" r:id="rId41"/>
      <w:footerReference w:type="default" r:id="rId42"/>
      <w:footerReference w:type="first" r:id="rId43"/>
      <w:pgSz w:w="16838" w:h="11905" w:orient="landscape" w:code="9"/>
      <w:pgMar w:top="284" w:right="1134" w:bottom="794" w:left="42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77" w:rsidRDefault="00D96177" w:rsidP="00FF72CB">
      <w:pPr>
        <w:spacing w:after="0" w:line="240" w:lineRule="auto"/>
      </w:pPr>
      <w:r>
        <w:separator/>
      </w:r>
    </w:p>
  </w:endnote>
  <w:endnote w:type="continuationSeparator" w:id="1">
    <w:p w:rsidR="00D96177" w:rsidRDefault="00D96177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204157"/>
      <w:docPartObj>
        <w:docPartGallery w:val="Page Numbers (Bottom of Page)"/>
        <w:docPartUnique/>
      </w:docPartObj>
    </w:sdtPr>
    <w:sdtContent>
      <w:p w:rsidR="00CD60B1" w:rsidRDefault="00796CC4">
        <w:pPr>
          <w:pStyle w:val="a6"/>
          <w:jc w:val="right"/>
        </w:pPr>
        <w:fldSimple w:instr=" PAGE   \* MERGEFORMAT ">
          <w:r w:rsidR="0023076E">
            <w:rPr>
              <w:noProof/>
            </w:rPr>
            <w:t>15</w:t>
          </w:r>
        </w:fldSimple>
      </w:p>
    </w:sdtContent>
  </w:sdt>
  <w:p w:rsidR="00CD60B1" w:rsidRPr="00D82F9B" w:rsidRDefault="00CD60B1" w:rsidP="00B224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Pr="00EA3805" w:rsidRDefault="00CD60B1" w:rsidP="00EA3805">
    <w:pPr>
      <w:pStyle w:val="a6"/>
      <w:jc w:val="right"/>
      <w:rPr>
        <w:lang w:val="ru-RU"/>
      </w:rPr>
    </w:pPr>
    <w:r>
      <w:rPr>
        <w:lang w:val="ru-RU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Default="00796CC4" w:rsidP="00B224AC">
    <w:pPr>
      <w:pStyle w:val="a6"/>
    </w:pPr>
    <w:fldSimple w:instr=" PAGE   \* MERGEFORMAT ">
      <w:r w:rsidR="00CD60B1">
        <w:rPr>
          <w:noProof/>
        </w:rPr>
        <w:t>17</w:t>
      </w:r>
    </w:fldSimple>
  </w:p>
  <w:p w:rsidR="00CD60B1" w:rsidRPr="00D82F9B" w:rsidRDefault="00CD60B1" w:rsidP="00B224A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Default="00796CC4" w:rsidP="00B224AC">
    <w:pPr>
      <w:pStyle w:val="a6"/>
    </w:pPr>
    <w:fldSimple w:instr=" PAGE   \* MERGEFORMAT ">
      <w:r w:rsidR="0023076E">
        <w:rPr>
          <w:noProof/>
        </w:rPr>
        <w:t>1</w:t>
      </w:r>
    </w:fldSimple>
  </w:p>
  <w:p w:rsidR="00CD60B1" w:rsidRPr="00AA73BB" w:rsidRDefault="00CD60B1" w:rsidP="00B22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77" w:rsidRDefault="00D96177" w:rsidP="00FF72CB">
      <w:pPr>
        <w:spacing w:after="0" w:line="240" w:lineRule="auto"/>
      </w:pPr>
      <w:r>
        <w:separator/>
      </w:r>
    </w:p>
  </w:footnote>
  <w:footnote w:type="continuationSeparator" w:id="1">
    <w:p w:rsidR="00D96177" w:rsidRDefault="00D96177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Default="00CD60B1">
    <w:pPr>
      <w:pStyle w:val="af1"/>
    </w:pPr>
  </w:p>
  <w:tbl>
    <w:tblPr>
      <w:tblW w:w="15797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701"/>
      <w:gridCol w:w="3261"/>
      <w:gridCol w:w="2835"/>
      <w:gridCol w:w="598"/>
      <w:gridCol w:w="567"/>
      <w:gridCol w:w="1142"/>
      <w:gridCol w:w="575"/>
      <w:gridCol w:w="1006"/>
      <w:gridCol w:w="993"/>
      <w:gridCol w:w="1135"/>
      <w:gridCol w:w="992"/>
      <w:gridCol w:w="992"/>
    </w:tblGrid>
    <w:tr w:rsidR="00CD60B1" w:rsidRPr="00A569DF" w:rsidTr="003C61A3">
      <w:trPr>
        <w:trHeight w:val="447"/>
        <w:tblCellSpacing w:w="5" w:type="nil"/>
      </w:trPr>
      <w:tc>
        <w:tcPr>
          <w:tcW w:w="170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26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муниципальной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>программы,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 xml:space="preserve">ведомственной целевой программы, 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283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82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1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CD60B1" w:rsidRPr="00A569DF" w:rsidTr="003C61A3">
      <w:trPr>
        <w:trHeight w:val="139"/>
        <w:tblCellSpacing w:w="5" w:type="nil"/>
      </w:trPr>
      <w:tc>
        <w:tcPr>
          <w:tcW w:w="170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26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835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Пр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CD60B1" w:rsidRPr="00A569DF" w:rsidTr="003C61A3">
      <w:trPr>
        <w:trHeight w:val="231"/>
        <w:tblCellSpacing w:w="5" w:type="nil"/>
      </w:trPr>
      <w:tc>
        <w:tcPr>
          <w:tcW w:w="170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26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28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CD60B1" w:rsidRPr="00A569DF" w:rsidTr="003C61A3">
      <w:trPr>
        <w:trHeight w:val="231"/>
        <w:tblCellSpacing w:w="5" w:type="nil"/>
      </w:trPr>
      <w:tc>
        <w:tcPr>
          <w:tcW w:w="1067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D60B1" w:rsidRPr="00A569DF" w:rsidRDefault="00CD60B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CD60B1" w:rsidRDefault="00CD60B1">
    <w:pPr>
      <w:pStyle w:val="af1"/>
    </w:pPr>
  </w:p>
  <w:p w:rsidR="00CD60B1" w:rsidRDefault="00CD60B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Pr="007E3E25" w:rsidRDefault="00CD60B1" w:rsidP="003C61A3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B1" w:rsidRPr="007E3E25" w:rsidRDefault="00CD60B1" w:rsidP="003C61A3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D3E8D"/>
    <w:rsid w:val="00145F96"/>
    <w:rsid w:val="001903D7"/>
    <w:rsid w:val="001A66D0"/>
    <w:rsid w:val="001C42A6"/>
    <w:rsid w:val="001E6DE8"/>
    <w:rsid w:val="00222947"/>
    <w:rsid w:val="0023076E"/>
    <w:rsid w:val="002863B4"/>
    <w:rsid w:val="0030247C"/>
    <w:rsid w:val="0031609A"/>
    <w:rsid w:val="00316C5E"/>
    <w:rsid w:val="00316CA5"/>
    <w:rsid w:val="003A2176"/>
    <w:rsid w:val="003C61A3"/>
    <w:rsid w:val="00562E6F"/>
    <w:rsid w:val="00581478"/>
    <w:rsid w:val="00627F0F"/>
    <w:rsid w:val="006C1655"/>
    <w:rsid w:val="006F761A"/>
    <w:rsid w:val="00745CA4"/>
    <w:rsid w:val="00790DD1"/>
    <w:rsid w:val="00796CC4"/>
    <w:rsid w:val="00837321"/>
    <w:rsid w:val="008769B0"/>
    <w:rsid w:val="00965418"/>
    <w:rsid w:val="009A6AB3"/>
    <w:rsid w:val="009D275A"/>
    <w:rsid w:val="009F3332"/>
    <w:rsid w:val="00AF6E65"/>
    <w:rsid w:val="00B224AC"/>
    <w:rsid w:val="00C82C01"/>
    <w:rsid w:val="00C97042"/>
    <w:rsid w:val="00CD0305"/>
    <w:rsid w:val="00CD60B1"/>
    <w:rsid w:val="00D1066A"/>
    <w:rsid w:val="00D20284"/>
    <w:rsid w:val="00D96177"/>
    <w:rsid w:val="00DA0648"/>
    <w:rsid w:val="00DB6140"/>
    <w:rsid w:val="00E24B75"/>
    <w:rsid w:val="00EA3805"/>
    <w:rsid w:val="00EA575F"/>
    <w:rsid w:val="00ED3680"/>
    <w:rsid w:val="00F26520"/>
    <w:rsid w:val="00F27BE1"/>
    <w:rsid w:val="00F354A4"/>
    <w:rsid w:val="00F82CF3"/>
    <w:rsid w:val="00FC45EE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21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b/>
      <w:bCs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D4DDC5450303F3B4FAE99D198FEBBF16DF7968021A95B91DED1E05C9r8cBM" TargetMode="External"/><Relationship Id="rId18" Type="http://schemas.openxmlformats.org/officeDocument/2006/relationships/hyperlink" Target="consultantplus://offline/ref=B1D4DDC5450303F3B4FAE99D198FEBBF16DD7964061B95B91DED1E05C98BB6C3EB55C103D38DD816r5cDM" TargetMode="External"/><Relationship Id="rId26" Type="http://schemas.openxmlformats.org/officeDocument/2006/relationships/image" Target="media/image7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yperlink" Target="garantf1://27214081.8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A71640E1C95B91DED1E05C9r8cBM" TargetMode="External"/><Relationship Id="rId17" Type="http://schemas.openxmlformats.org/officeDocument/2006/relationships/hyperlink" Target="consultantplus://offline/ref=B1D4DDC5450303F3B4FAE99D198FEBBF16DF7C62021A95B91DED1E05C98BB6C3EB55C103D38DD817r5c3M" TargetMode="External"/><Relationship Id="rId25" Type="http://schemas.openxmlformats.org/officeDocument/2006/relationships/image" Target="media/image6.wmf"/><Relationship Id="rId33" Type="http://schemas.openxmlformats.org/officeDocument/2006/relationships/hyperlink" Target="garantf1://27214081.6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ED67D620E16C8B315B41207CE84E9D4EC1CCD02D38DD9r1c6M" TargetMode="External"/><Relationship Id="rId20" Type="http://schemas.openxmlformats.org/officeDocument/2006/relationships/hyperlink" Target="consultantplus://offline/ref=B1D4DDC5450303F3B4FAF7900FE3B5BB11D5276C00149EEE40B245589E82BC94rAcCM" TargetMode="External"/><Relationship Id="rId29" Type="http://schemas.openxmlformats.org/officeDocument/2006/relationships/image" Target="media/image10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B7B64051595B91DED1E05C9r8cBM" TargetMode="External"/><Relationship Id="rId24" Type="http://schemas.openxmlformats.org/officeDocument/2006/relationships/image" Target="media/image5.wmf"/><Relationship Id="rId32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EDE7F610616C8B315B41207CE84E9D4EC1CCD02D38DD8r1cFM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10" Type="http://schemas.openxmlformats.org/officeDocument/2006/relationships/hyperlink" Target="consultantplus://offline/ref=B1D4DDC5450303F3B4FAE99D198FEBBF15D67E640C4BC2BB4CB810r0c0M" TargetMode="External"/><Relationship Id="rId19" Type="http://schemas.openxmlformats.org/officeDocument/2006/relationships/hyperlink" Target="consultantplus://offline/ref=B1D4DDC5450303F3B4FAE99D198FEBBF16DD7062021D95B91DED1E05C9r8cBM" TargetMode="External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B1D4DDC5450303F3B4FAE99D198FEBBF16DE7D67001F95B91DED1E05C98BB6C3EB55C103D38DD816r5cAM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3EA7-A7D8-4A6D-B3C2-55EA1CB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6968</Words>
  <Characters>39719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2016-10-26T09:28:00Z</cp:lastPrinted>
  <dcterms:created xsi:type="dcterms:W3CDTF">2016-08-15T10:52:00Z</dcterms:created>
  <dcterms:modified xsi:type="dcterms:W3CDTF">2016-10-27T12:05:00Z</dcterms:modified>
</cp:coreProperties>
</file>