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F" w:rsidRPr="00682784" w:rsidRDefault="00B41192" w:rsidP="005D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4B7D1E" wp14:editId="400BC988">
            <wp:simplePos x="0" y="0"/>
            <wp:positionH relativeFrom="column">
              <wp:posOffset>2634615</wp:posOffset>
            </wp:positionH>
            <wp:positionV relativeFrom="paragraph">
              <wp:posOffset>146685</wp:posOffset>
            </wp:positionV>
            <wp:extent cx="685800" cy="800100"/>
            <wp:effectExtent l="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47F" w:rsidRPr="00682784" w:rsidRDefault="005D047F" w:rsidP="005D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784"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A243A" wp14:editId="00DCA61B">
                <wp:simplePos x="0" y="0"/>
                <wp:positionH relativeFrom="column">
                  <wp:posOffset>3509010</wp:posOffset>
                </wp:positionH>
                <wp:positionV relativeFrom="paragraph">
                  <wp:posOffset>-28575</wp:posOffset>
                </wp:positionV>
                <wp:extent cx="2606040" cy="685800"/>
                <wp:effectExtent l="7620" t="11430" r="571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7F" w:rsidRPr="0031765F" w:rsidRDefault="005D047F" w:rsidP="005D047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1765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31765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31765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3pt;margin-top:-2.2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" strokecolor="white">
                <v:textbox>
                  <w:txbxContent>
                    <w:p w:rsidR="005D047F" w:rsidRPr="0031765F" w:rsidRDefault="005D047F" w:rsidP="005D047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1765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31765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31765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682784"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D15E7" wp14:editId="5B9E0C52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606040" cy="634365"/>
                <wp:effectExtent l="13335" t="8890" r="9525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7F" w:rsidRDefault="005D047F" w:rsidP="005D0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31765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5D047F" w:rsidRPr="0031765F" w:rsidRDefault="005D047F" w:rsidP="005D0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765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9pt;margin-top:.55pt;width:205.2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" strokecolor="white">
                <v:textbox>
                  <w:txbxContent>
                    <w:p w:rsidR="005D047F" w:rsidRDefault="005D047F" w:rsidP="005D0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31765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  <w:p w:rsidR="005D047F" w:rsidRPr="0031765F" w:rsidRDefault="005D047F" w:rsidP="005D0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1765F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D047F" w:rsidRPr="00682784" w:rsidRDefault="005D047F" w:rsidP="005D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047F" w:rsidRPr="00682784" w:rsidRDefault="005D047F" w:rsidP="005D0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047F" w:rsidRPr="00682784" w:rsidRDefault="005D047F" w:rsidP="005D0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047F" w:rsidRPr="006674B7" w:rsidRDefault="005D047F" w:rsidP="005D0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47F" w:rsidRPr="002F0250" w:rsidRDefault="005D047F" w:rsidP="005D0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D047F" w:rsidRPr="006674B7" w:rsidRDefault="005D047F" w:rsidP="005D0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7F" w:rsidRPr="006674B7" w:rsidRDefault="005D047F" w:rsidP="005D0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ноября </w:t>
      </w:r>
      <w:r w:rsidRPr="006674B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F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4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</w:t>
      </w:r>
      <w:r w:rsidR="00B41192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</w:p>
    <w:p w:rsidR="005D047F" w:rsidRPr="006674B7" w:rsidRDefault="005D047F" w:rsidP="005D047F">
      <w:pPr>
        <w:pStyle w:val="ConsPlusTitle"/>
        <w:jc w:val="center"/>
        <w:rPr>
          <w:b w:val="0"/>
          <w:sz w:val="28"/>
          <w:szCs w:val="28"/>
        </w:rPr>
      </w:pPr>
    </w:p>
    <w:p w:rsidR="005D047F" w:rsidRPr="006674B7" w:rsidRDefault="005D047F" w:rsidP="005D047F">
      <w:pPr>
        <w:pStyle w:val="ConsPlusTitle"/>
        <w:jc w:val="center"/>
        <w:rPr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>о порядке и условиях предоставления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bookmarkStart w:id="0" w:name="_GoBack"/>
      <w:bookmarkEnd w:id="0"/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C513FE">
        <w:rPr>
          <w:rFonts w:ascii="Times New Roman" w:hAnsi="Times New Roman" w:cs="Times New Roman"/>
          <w:sz w:val="28"/>
          <w:szCs w:val="28"/>
        </w:rPr>
        <w:t>бюджету городского,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В соответствии со статьей 142.4 Бюджетного кодекса Российской Федерации, 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>1. Утвердить 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бюджета</w:t>
      </w:r>
      <w:r>
        <w:rPr>
          <w:rFonts w:ascii="Times New Roman" w:hAnsi="Times New Roman" w:cs="Times New Roman"/>
          <w:sz w:val="28"/>
          <w:szCs w:val="28"/>
        </w:rPr>
        <w:t>м городских, сельских поселений из бюджета муниципального района «Княжпогостский»</w:t>
      </w:r>
      <w:r w:rsidRPr="00C513FE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C513FE">
        <w:rPr>
          <w:rFonts w:ascii="Times New Roman" w:hAnsi="Times New Roman" w:cs="Times New Roman"/>
          <w:iCs/>
          <w:sz w:val="28"/>
          <w:szCs w:val="28"/>
        </w:rPr>
        <w:t xml:space="preserve">постановление </w:t>
      </w:r>
      <w:proofErr w:type="gramStart"/>
      <w:r w:rsidRPr="00C513FE">
        <w:rPr>
          <w:rFonts w:ascii="Times New Roman" w:hAnsi="Times New Roman" w:cs="Times New Roman"/>
          <w:iCs/>
          <w:sz w:val="28"/>
          <w:szCs w:val="28"/>
        </w:rPr>
        <w:t>вступает в силу с момента подписания и официального опубликования и распространяется</w:t>
      </w:r>
      <w:proofErr w:type="gramEnd"/>
      <w:r w:rsidRPr="00C513FE">
        <w:rPr>
          <w:rFonts w:ascii="Times New Roman" w:hAnsi="Times New Roman" w:cs="Times New Roman"/>
          <w:iCs/>
          <w:sz w:val="28"/>
          <w:szCs w:val="28"/>
        </w:rPr>
        <w:t xml:space="preserve"> на правоотношения</w:t>
      </w:r>
      <w:r w:rsidR="00B41192">
        <w:rPr>
          <w:rFonts w:ascii="Times New Roman" w:hAnsi="Times New Roman" w:cs="Times New Roman"/>
          <w:iCs/>
          <w:sz w:val="28"/>
          <w:szCs w:val="28"/>
        </w:rPr>
        <w:t>, возникшие</w:t>
      </w:r>
      <w:r w:rsidRPr="00C513FE">
        <w:rPr>
          <w:rFonts w:ascii="Times New Roman" w:hAnsi="Times New Roman" w:cs="Times New Roman"/>
          <w:iCs/>
          <w:sz w:val="28"/>
          <w:szCs w:val="28"/>
        </w:rPr>
        <w:t xml:space="preserve"> с 01.01.2023</w:t>
      </w:r>
      <w:r w:rsidRPr="00C51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47F" w:rsidRPr="006674B7" w:rsidRDefault="005D047F" w:rsidP="005D04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 w:rsidRPr="006674B7">
        <w:rPr>
          <w:sz w:val="28"/>
          <w:szCs w:val="28"/>
        </w:rPr>
        <w:t>Контроль за</w:t>
      </w:r>
      <w:proofErr w:type="gramEnd"/>
      <w:r w:rsidRPr="006674B7">
        <w:rPr>
          <w:sz w:val="28"/>
          <w:szCs w:val="28"/>
        </w:rPr>
        <w:t xml:space="preserve"> выполнением настоящего постановления возложить на первого заместителя руководителя администрации МР «Княжпогостский»</w:t>
      </w:r>
      <w:r>
        <w:rPr>
          <w:sz w:val="28"/>
          <w:szCs w:val="28"/>
        </w:rPr>
        <w:t xml:space="preserve"> </w:t>
      </w:r>
      <w:proofErr w:type="spellStart"/>
      <w:r w:rsidRPr="006674B7">
        <w:rPr>
          <w:sz w:val="28"/>
          <w:szCs w:val="28"/>
        </w:rPr>
        <w:t>Ховрина</w:t>
      </w:r>
      <w:proofErr w:type="spellEnd"/>
      <w:r w:rsidRPr="006674B7">
        <w:rPr>
          <w:sz w:val="28"/>
          <w:szCs w:val="28"/>
        </w:rPr>
        <w:t xml:space="preserve"> М.В.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47F" w:rsidRPr="006674B7" w:rsidRDefault="005D047F" w:rsidP="005D04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>Глава муниципального района «Княжпогостский»-</w:t>
      </w:r>
    </w:p>
    <w:p w:rsidR="005D047F" w:rsidRPr="006674B7" w:rsidRDefault="005D047F" w:rsidP="005D047F">
      <w:pPr>
        <w:pStyle w:val="ConsPlusNormal"/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 w:rsidRPr="006674B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674B7">
        <w:rPr>
          <w:rFonts w:ascii="Times New Roman" w:hAnsi="Times New Roman" w:cs="Times New Roman"/>
          <w:sz w:val="28"/>
          <w:szCs w:val="28"/>
        </w:rPr>
        <w:t xml:space="preserve">                 А.Л. Немчинов</w:t>
      </w:r>
    </w:p>
    <w:p w:rsidR="005D047F" w:rsidRPr="006674B7" w:rsidRDefault="005D047F" w:rsidP="005D04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1192">
        <w:rPr>
          <w:rFonts w:ascii="Times New Roman" w:hAnsi="Times New Roman" w:cs="Times New Roman"/>
          <w:sz w:val="28"/>
          <w:szCs w:val="28"/>
        </w:rPr>
        <w:t xml:space="preserve">08 ноября 2022 </w:t>
      </w:r>
      <w:r w:rsidR="002F0250">
        <w:rPr>
          <w:rFonts w:ascii="Times New Roman" w:hAnsi="Times New Roman" w:cs="Times New Roman"/>
          <w:sz w:val="28"/>
          <w:szCs w:val="28"/>
        </w:rPr>
        <w:t xml:space="preserve">г. </w:t>
      </w:r>
      <w:r w:rsidR="00B4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1192">
        <w:rPr>
          <w:rFonts w:ascii="Times New Roman" w:hAnsi="Times New Roman" w:cs="Times New Roman"/>
          <w:sz w:val="28"/>
          <w:szCs w:val="28"/>
        </w:rPr>
        <w:t>466</w:t>
      </w:r>
    </w:p>
    <w:p w:rsidR="005D047F" w:rsidRDefault="005D047F" w:rsidP="005D047F">
      <w:pPr>
        <w:rPr>
          <w:rFonts w:ascii="Times New Roman" w:hAnsi="Times New Roman" w:cs="Times New Roman"/>
          <w:sz w:val="28"/>
          <w:szCs w:val="28"/>
        </w:rPr>
      </w:pPr>
    </w:p>
    <w:p w:rsidR="005D047F" w:rsidRPr="00C513FE" w:rsidRDefault="005D047F" w:rsidP="005D047F">
      <w:pPr>
        <w:pStyle w:val="Default"/>
        <w:jc w:val="center"/>
        <w:rPr>
          <w:sz w:val="28"/>
          <w:szCs w:val="28"/>
        </w:rPr>
      </w:pPr>
      <w:r w:rsidRPr="00C513FE">
        <w:rPr>
          <w:sz w:val="28"/>
          <w:szCs w:val="28"/>
        </w:rPr>
        <w:t>Порядок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13FE">
        <w:rPr>
          <w:rFonts w:ascii="Times New Roman" w:hAnsi="Times New Roman" w:cs="Times New Roman"/>
          <w:color w:val="000000"/>
          <w:sz w:val="28"/>
          <w:szCs w:val="28"/>
        </w:rPr>
        <w:t>(за исключением иных межбюджетных трансфертов,</w:t>
      </w:r>
      <w:proofErr w:type="gramEnd"/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>предоставляемых на осуществление части полномочий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значения) бюджетам городских, сельских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CE78B8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CE78B8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 района «Княжпогостский»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47F" w:rsidRPr="00CE78B8" w:rsidRDefault="005D047F" w:rsidP="005D047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8B8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5D047F" w:rsidRPr="00CE78B8" w:rsidRDefault="005D047F" w:rsidP="005D047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(далее - иные межбюджетные трансферты) из бюджета </w:t>
      </w:r>
      <w:r w:rsidRPr="00CE78B8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 района «Княжпогостский»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муниципальный район) бюджетам городских, сельских поселений (далее – поселения).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47F" w:rsidRDefault="005D047F" w:rsidP="005D047F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C513FE">
        <w:rPr>
          <w:sz w:val="28"/>
          <w:szCs w:val="28"/>
        </w:rPr>
        <w:t>Предоставление иных межбюджетных трансфертов</w:t>
      </w:r>
    </w:p>
    <w:p w:rsidR="005D047F" w:rsidRDefault="005D047F" w:rsidP="005D047F">
      <w:pPr>
        <w:pStyle w:val="Default"/>
        <w:ind w:left="1707"/>
        <w:rPr>
          <w:sz w:val="28"/>
          <w:szCs w:val="28"/>
        </w:rPr>
      </w:pPr>
    </w:p>
    <w:p w:rsidR="005D047F" w:rsidRDefault="005D047F" w:rsidP="005D047F">
      <w:pPr>
        <w:pStyle w:val="Default"/>
        <w:ind w:firstLine="708"/>
        <w:jc w:val="both"/>
        <w:rPr>
          <w:sz w:val="28"/>
          <w:szCs w:val="28"/>
        </w:rPr>
      </w:pPr>
      <w:r w:rsidRPr="00C513FE">
        <w:rPr>
          <w:sz w:val="28"/>
          <w:szCs w:val="28"/>
        </w:rPr>
        <w:t xml:space="preserve"> 2.1. Иные межбюджетные трансферты из бюджета муниципального района в бюджеты поселений предоставляются в следующих случаях</w:t>
      </w:r>
      <w:r>
        <w:rPr>
          <w:sz w:val="28"/>
          <w:szCs w:val="28"/>
        </w:rPr>
        <w:t xml:space="preserve">: </w:t>
      </w:r>
    </w:p>
    <w:p w:rsidR="005D047F" w:rsidRPr="00C513FE" w:rsidRDefault="005D047F" w:rsidP="005D047F">
      <w:pPr>
        <w:pStyle w:val="Default"/>
        <w:jc w:val="both"/>
        <w:rPr>
          <w:sz w:val="28"/>
          <w:szCs w:val="28"/>
        </w:rPr>
      </w:pPr>
      <w:r w:rsidRPr="00C513FE">
        <w:rPr>
          <w:sz w:val="28"/>
          <w:szCs w:val="28"/>
        </w:rPr>
        <w:t xml:space="preserve">1) в целях </w:t>
      </w:r>
      <w:proofErr w:type="spellStart"/>
      <w:r w:rsidRPr="00C513FE">
        <w:rPr>
          <w:sz w:val="28"/>
          <w:szCs w:val="28"/>
        </w:rPr>
        <w:t>софинансирования</w:t>
      </w:r>
      <w:proofErr w:type="spellEnd"/>
      <w:r w:rsidRPr="00C513FE">
        <w:rPr>
          <w:sz w:val="28"/>
          <w:szCs w:val="28"/>
        </w:rPr>
        <w:t xml:space="preserve"> расходных обязательств, возникших при выполнении полномочий органов местного самоуправления поселений по вопросам местного значения поселений;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2) принятие в течение финансового года администрацией муниципального района или администрациями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бюджетов; </w:t>
      </w:r>
    </w:p>
    <w:p w:rsidR="005D047F" w:rsidRDefault="005D047F" w:rsidP="005D047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3)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целевых межбюджетных трансфертов из других бюджетов бюджетной системы Российской Федерации; </w:t>
      </w:r>
    </w:p>
    <w:p w:rsidR="005D047F" w:rsidRPr="00C513FE" w:rsidRDefault="005D047F" w:rsidP="005D047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) уменьшение поступления налоговых и неналоговых доходов бюджетов поселений муниципального района при наличии объективных факторов, подкрепленных финансово-экономическими обоснованиями;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) возникновение дополнительных расходов бюджетов поселений муниципального района, обусловленных влиянием объективных факторов на объемы бюджетных обязательств муниципальных образований поселений;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муниципальных программ </w:t>
      </w:r>
      <w:r w:rsidRPr="00CE78B8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«</w:t>
      </w:r>
      <w:r w:rsidRPr="00CE78B8">
        <w:rPr>
          <w:rFonts w:ascii="Times New Roman" w:hAnsi="Times New Roman" w:cs="Times New Roman"/>
          <w:iCs/>
          <w:color w:val="000000"/>
          <w:sz w:val="28"/>
          <w:szCs w:val="28"/>
        </w:rPr>
        <w:t>Княжпогостский»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) 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 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) необходимость решения актуальных вопросов местного значения.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47F" w:rsidRPr="00CE78B8" w:rsidRDefault="005D047F" w:rsidP="005D047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8B8">
        <w:rPr>
          <w:rFonts w:ascii="Times New Roman" w:hAnsi="Times New Roman" w:cs="Times New Roman"/>
          <w:color w:val="000000"/>
          <w:sz w:val="28"/>
          <w:szCs w:val="28"/>
        </w:rPr>
        <w:t>Условия предоставления иных межбюджетных трансфертов</w:t>
      </w:r>
    </w:p>
    <w:p w:rsidR="005D047F" w:rsidRPr="00CE78B8" w:rsidRDefault="005D047F" w:rsidP="005D047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47F" w:rsidRPr="00C513FE" w:rsidRDefault="005D047F" w:rsidP="005D047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>3.1. Иные межбюджетные трансферты из бюджета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района в бюджеты поселений, предусмотренные пунктом 2.1 настоящего Порядка, предоставляются при условии: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>- соблюдения органами местного самоуправления поселений бюджетного законода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тельства Российской Федерации,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Коми, законодательства муниципального района «Княжпогостский» и поселений, находящихся на территории района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о налогах и сборах;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соблюдения установленных </w:t>
      </w:r>
      <w:r w:rsidRPr="00C51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поселений.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>3.2. Предоставление иных межбюджетных из бюджета муниципального района в бюджеты поселений осуществляется за счет собственных доходов и источников финансирования дефицита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юджета, а также за счет средств,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других бюджетов бюджетной системы Российской Федерации, предоставленных на эти цели.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3.3. Основанием для выделения иных межбюджетных трансфертов из бюджета муниципального района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сводно-бюджетная роспись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 и соглашение о предоставлении иных межбюджетных трансфертов, заключенное </w:t>
      </w:r>
      <w:r w:rsidRPr="00CE78B8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ым</w:t>
      </w:r>
      <w:r w:rsidRPr="00CE78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ом </w:t>
      </w:r>
      <w:r w:rsidRPr="00CE78B8">
        <w:rPr>
          <w:rFonts w:ascii="Times New Roman" w:hAnsi="Times New Roman" w:cs="Times New Roman"/>
          <w:iCs/>
          <w:color w:val="000000"/>
          <w:sz w:val="28"/>
          <w:szCs w:val="28"/>
        </w:rPr>
        <w:t>«Княжпогостский»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с муниципальным образованием поселения.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3.4. Соглашения с муниципальными образованиями поселений о предоставлении иных межбюджетных трансфертов оформляются главными распорядителями бюджетных средств.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3FE">
        <w:rPr>
          <w:rFonts w:ascii="Times New Roman" w:hAnsi="Times New Roman" w:cs="Times New Roman"/>
          <w:color w:val="000000"/>
          <w:sz w:val="28"/>
          <w:szCs w:val="28"/>
        </w:rPr>
        <w:t xml:space="preserve">3.5. Соглашение о предоставлении иных межбюджетных трансфертов бюджетам поселений должно содержать следующие основные положения: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47F" w:rsidRPr="00C513FE" w:rsidRDefault="005D047F" w:rsidP="005D047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lastRenderedPageBreak/>
        <w:t xml:space="preserve">1) целевое назначение иных межбюджетных трансфертов;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2) условия предоставления и расходования иных межбюджетных трансфертов;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3) объем бюджетных ассигнований, предусмотренных на предоставление иных межбюджетных трансфертов;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4) порядок перечисления иных межбюджетных трансфертов;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5) сроки предоставления иных межбюджетных трансфертов;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6) порядок осуществления </w:t>
      </w:r>
      <w:proofErr w:type="gramStart"/>
      <w:r w:rsidRPr="00C513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13FE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иных межбюджетных трансфертов;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7) сроки и порядок предоставления отчетности об использовании иных межбюджетных трансфертов;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9) ответственность сторон и финансовые санкции за неисполнение настоящего соглашения. </w:t>
      </w: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7F" w:rsidRPr="00FF523C" w:rsidRDefault="005D047F" w:rsidP="005D047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23C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5D047F" w:rsidRPr="00966DD4" w:rsidRDefault="005D047F" w:rsidP="005D047F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7F" w:rsidRPr="00C513FE" w:rsidRDefault="005D047F" w:rsidP="005D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 xml:space="preserve">4.1. Объем и распределение иных межбюджетных трансфертов из бюджета муниципального района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района «Княжпогостский» </w:t>
      </w:r>
      <w:r w:rsidRPr="00C513FE">
        <w:rPr>
          <w:rFonts w:ascii="Times New Roman" w:hAnsi="Times New Roman" w:cs="Times New Roman"/>
          <w:sz w:val="28"/>
          <w:szCs w:val="28"/>
        </w:rPr>
        <w:t xml:space="preserve"> о бюджете муниципального района на очередной финансовый год и плановый период или сводной бюджетной росписью. </w:t>
      </w:r>
    </w:p>
    <w:p w:rsidR="005D047F" w:rsidRDefault="005D047F" w:rsidP="005D04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3FE">
        <w:rPr>
          <w:rFonts w:ascii="Times New Roman" w:hAnsi="Times New Roman" w:cs="Times New Roman"/>
          <w:sz w:val="28"/>
          <w:szCs w:val="28"/>
        </w:rPr>
        <w:t>4.2. Иные межбюджетные трансферты на цели, определенные настоящим Порядком, перечисляются в установленном порядке на счета бюджетов поселений, открытые в органах Федерального казначейства, в пределах бюджетных ассигнований и лимитов бюджетных обязательств, предусмотренных на данные цели в бюджете муниципального района.</w:t>
      </w:r>
    </w:p>
    <w:p w:rsidR="005D047F" w:rsidRDefault="005D047F" w:rsidP="005D047F">
      <w:pPr>
        <w:rPr>
          <w:rFonts w:ascii="Times New Roman" w:hAnsi="Times New Roman" w:cs="Times New Roman"/>
          <w:sz w:val="28"/>
          <w:szCs w:val="28"/>
        </w:rPr>
      </w:pPr>
    </w:p>
    <w:p w:rsidR="005D047F" w:rsidRDefault="005D047F" w:rsidP="005D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5D047F" w:rsidRPr="00235216" w:rsidRDefault="005D047F" w:rsidP="005D04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3C2B" w:rsidRPr="005D047F" w:rsidRDefault="007C3C2B" w:rsidP="005D047F"/>
    <w:sectPr w:rsidR="007C3C2B" w:rsidRPr="005D047F" w:rsidSect="006C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454F"/>
    <w:multiLevelType w:val="hybridMultilevel"/>
    <w:tmpl w:val="9E9A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08"/>
    <w:rsid w:val="000F1C08"/>
    <w:rsid w:val="0025568A"/>
    <w:rsid w:val="002F0250"/>
    <w:rsid w:val="00446A7A"/>
    <w:rsid w:val="005D047F"/>
    <w:rsid w:val="007C3C2B"/>
    <w:rsid w:val="009118A5"/>
    <w:rsid w:val="00A533EA"/>
    <w:rsid w:val="00B41192"/>
    <w:rsid w:val="00B46964"/>
    <w:rsid w:val="00CA1B09"/>
    <w:rsid w:val="00E5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A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04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D04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5D0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D0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A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04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D04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5D0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D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4</cp:revision>
  <cp:lastPrinted>2022-11-09T06:35:00Z</cp:lastPrinted>
  <dcterms:created xsi:type="dcterms:W3CDTF">2022-10-14T09:58:00Z</dcterms:created>
  <dcterms:modified xsi:type="dcterms:W3CDTF">2022-11-09T06:40:00Z</dcterms:modified>
</cp:coreProperties>
</file>