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B7" w:rsidRDefault="00C620B7" w:rsidP="00C620B7">
      <w:pPr>
        <w:ind w:firstLine="720"/>
        <w:jc w:val="right"/>
        <w:rPr>
          <w:rFonts w:ascii="Times New Roman" w:hAnsi="Times New Roman"/>
          <w:sz w:val="28"/>
          <w:szCs w:val="28"/>
        </w:rPr>
      </w:pPr>
      <w:r>
        <w:rPr>
          <w:rFonts w:ascii="Times New Roman" w:hAnsi="Times New Roman"/>
          <w:sz w:val="28"/>
          <w:szCs w:val="28"/>
        </w:rPr>
        <w:t>Приложение № 2</w:t>
      </w:r>
    </w:p>
    <w:p w:rsidR="00C620B7" w:rsidRDefault="00C620B7" w:rsidP="00C620B7">
      <w:pPr>
        <w:ind w:left="4820"/>
        <w:jc w:val="right"/>
        <w:rPr>
          <w:rFonts w:ascii="Times New Roman" w:hAnsi="Times New Roman"/>
          <w:sz w:val="28"/>
          <w:szCs w:val="28"/>
        </w:rPr>
      </w:pPr>
      <w:r>
        <w:rPr>
          <w:rFonts w:ascii="Times New Roman" w:hAnsi="Times New Roman"/>
          <w:sz w:val="28"/>
          <w:szCs w:val="28"/>
        </w:rPr>
        <w:t xml:space="preserve">к Положению о муниципальном земельном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использованием земель на межселенной территории муниципального района «Княжпогостский» и в границах сельских поселений, входящих в его состав</w:t>
      </w:r>
    </w:p>
    <w:p w:rsidR="00C620B7" w:rsidRDefault="00C620B7" w:rsidP="00C620B7">
      <w:pPr>
        <w:widowControl/>
        <w:ind w:left="4820"/>
        <w:rPr>
          <w:i/>
        </w:rPr>
      </w:pPr>
    </w:p>
    <w:p w:rsidR="00C620B7" w:rsidRDefault="00C620B7" w:rsidP="00C620B7">
      <w:pPr>
        <w:widowControl/>
        <w:ind w:left="4820"/>
        <w:rPr>
          <w:i/>
        </w:rPr>
      </w:pPr>
    </w:p>
    <w:p w:rsidR="00C620B7" w:rsidRDefault="00C620B7" w:rsidP="00C620B7">
      <w:pPr>
        <w:widowControl/>
        <w:ind w:left="4820"/>
        <w:rPr>
          <w:i/>
        </w:rPr>
      </w:pPr>
    </w:p>
    <w:p w:rsidR="00C620B7" w:rsidRDefault="00C620B7" w:rsidP="00C620B7">
      <w:pPr>
        <w:widowControl/>
        <w:jc w:val="center"/>
        <w:rPr>
          <w:rFonts w:ascii="Times New Roman" w:hAnsi="Times New Roman"/>
          <w:b/>
          <w:bCs/>
          <w:color w:val="auto"/>
          <w:sz w:val="28"/>
          <w:szCs w:val="28"/>
          <w:lang w:eastAsia="en-US"/>
        </w:rPr>
      </w:pPr>
      <w:bookmarkStart w:id="0" w:name="_GoBack"/>
      <w:r>
        <w:rPr>
          <w:rFonts w:ascii="Times New Roman" w:hAnsi="Times New Roman"/>
          <w:b/>
          <w:bCs/>
          <w:color w:val="auto"/>
          <w:sz w:val="28"/>
          <w:szCs w:val="28"/>
          <w:lang w:eastAsia="en-US"/>
        </w:rPr>
        <w:t>Индикаторы риска</w:t>
      </w:r>
    </w:p>
    <w:p w:rsidR="00C620B7" w:rsidRDefault="00C620B7" w:rsidP="00C620B7">
      <w:pPr>
        <w:widowControl/>
        <w:jc w:val="center"/>
        <w:rPr>
          <w:rFonts w:ascii="Times New Roman" w:hAnsi="Times New Roman"/>
          <w:b/>
          <w:bCs/>
          <w:color w:val="auto"/>
          <w:sz w:val="28"/>
          <w:szCs w:val="28"/>
          <w:lang w:eastAsia="en-US"/>
        </w:rPr>
      </w:pPr>
      <w:r>
        <w:rPr>
          <w:rFonts w:ascii="Times New Roman" w:hAnsi="Times New Roman"/>
          <w:b/>
          <w:bCs/>
          <w:color w:val="auto"/>
          <w:sz w:val="28"/>
          <w:szCs w:val="28"/>
          <w:lang w:eastAsia="en-US"/>
        </w:rPr>
        <w:t xml:space="preserve">нарушения требований земельного законодательства, используемые для необходимости проведения внеплановых контрольных (надзорных) мероприятий при осуществлении </w:t>
      </w:r>
      <w:r>
        <w:rPr>
          <w:rFonts w:ascii="Times New Roman" w:hAnsi="Times New Roman"/>
          <w:b/>
          <w:color w:val="auto"/>
          <w:sz w:val="28"/>
          <w:szCs w:val="28"/>
        </w:rPr>
        <w:t>муниципального земельного контроля</w:t>
      </w:r>
    </w:p>
    <w:bookmarkEnd w:id="0"/>
    <w:p w:rsidR="00C620B7" w:rsidRDefault="00C620B7" w:rsidP="00C620B7">
      <w:pPr>
        <w:widowControl/>
        <w:jc w:val="both"/>
        <w:outlineLvl w:val="0"/>
        <w:rPr>
          <w:rFonts w:ascii="Times New Roman" w:hAnsi="Times New Roman"/>
          <w:color w:val="auto"/>
          <w:sz w:val="28"/>
          <w:szCs w:val="28"/>
          <w:lang w:eastAsia="en-US"/>
        </w:rPr>
      </w:pPr>
    </w:p>
    <w:p w:rsidR="00C620B7" w:rsidRDefault="00C620B7" w:rsidP="00C620B7">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1. Получение органом контроля сведений о превышении площади земельного участка.</w:t>
      </w:r>
    </w:p>
    <w:p w:rsidR="00C620B7" w:rsidRDefault="00C620B7" w:rsidP="00C620B7">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2. Размещение объекта недвижимости на земельном участке, не предоставленном в установленном порядке.</w:t>
      </w:r>
    </w:p>
    <w:p w:rsidR="00C620B7" w:rsidRDefault="00C620B7" w:rsidP="00C620B7">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3. Использование земельных участков, находящихся в собственности МО МР «Княжпогостский», а также земель, государственная собственность на которые не разграничена, до принятия администрацией МР «Княжпогостский» решения о предоставлении на каком-либо праве.</w:t>
      </w:r>
    </w:p>
    <w:p w:rsidR="00C620B7" w:rsidRDefault="00C620B7" w:rsidP="00C620B7">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4. Наличие на земельном участке специализированной техники, используемой для снятия или перемещения плодородного слоя почвы.</w:t>
      </w:r>
    </w:p>
    <w:p w:rsidR="00C620B7" w:rsidRDefault="00C620B7" w:rsidP="00C620B7">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5. Размещение на плодородном слое почвы пестицидов и </w:t>
      </w:r>
      <w:proofErr w:type="spellStart"/>
      <w:r>
        <w:rPr>
          <w:rFonts w:ascii="Times New Roman" w:hAnsi="Times New Roman"/>
          <w:color w:val="auto"/>
          <w:sz w:val="28"/>
          <w:szCs w:val="28"/>
        </w:rPr>
        <w:t>агрохимикатов</w:t>
      </w:r>
      <w:proofErr w:type="spellEnd"/>
      <w:r>
        <w:rPr>
          <w:rFonts w:ascii="Times New Roman" w:hAnsi="Times New Roman"/>
          <w:color w:val="auto"/>
          <w:sz w:val="28"/>
          <w:szCs w:val="28"/>
        </w:rPr>
        <w:t>, опасных для здоровья людей и окружающей среды веществ и отходов производства и потребления.</w:t>
      </w:r>
    </w:p>
    <w:p w:rsidR="00C620B7" w:rsidRDefault="00C620B7" w:rsidP="00C620B7">
      <w:pPr>
        <w:autoSpaceDE w:val="0"/>
        <w:autoSpaceDN w:val="0"/>
        <w:ind w:firstLine="709"/>
        <w:jc w:val="both"/>
        <w:rPr>
          <w:rFonts w:ascii="Times New Roman" w:hAnsi="Times New Roman"/>
          <w:color w:val="auto"/>
          <w:sz w:val="28"/>
          <w:szCs w:val="28"/>
        </w:rPr>
      </w:pPr>
      <w:r>
        <w:rPr>
          <w:rFonts w:ascii="Times New Roman" w:hAnsi="Times New Roman"/>
          <w:color w:val="auto"/>
          <w:sz w:val="28"/>
          <w:szCs w:val="28"/>
        </w:rPr>
        <w:t>6. 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rsidR="00C620B7" w:rsidRDefault="00C620B7" w:rsidP="00C620B7">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7. 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w:t>
      </w:r>
    </w:p>
    <w:p w:rsidR="00C620B7" w:rsidRDefault="00C620B7" w:rsidP="00C620B7">
      <w:pPr>
        <w:autoSpaceDE w:val="0"/>
        <w:autoSpaceDN w:val="0"/>
        <w:ind w:firstLine="709"/>
        <w:jc w:val="both"/>
        <w:rPr>
          <w:rFonts w:ascii="Times New Roman" w:hAnsi="Times New Roman"/>
          <w:color w:val="auto"/>
          <w:sz w:val="28"/>
          <w:szCs w:val="28"/>
        </w:rPr>
      </w:pPr>
      <w:r>
        <w:rPr>
          <w:rFonts w:ascii="Times New Roman" w:hAnsi="Times New Roman"/>
          <w:color w:val="auto"/>
          <w:sz w:val="28"/>
          <w:szCs w:val="28"/>
        </w:rPr>
        <w:t>8. Истечение срока выполнения работ по рекультивации земель, указанного в проекте рекультивации земель.</w:t>
      </w:r>
    </w:p>
    <w:p w:rsidR="00C620B7" w:rsidRDefault="00C620B7" w:rsidP="00C620B7">
      <w:pPr>
        <w:autoSpaceDE w:val="0"/>
        <w:autoSpaceDN w:val="0"/>
        <w:ind w:firstLine="709"/>
        <w:jc w:val="both"/>
        <w:rPr>
          <w:rFonts w:ascii="Times New Roman" w:hAnsi="Times New Roman"/>
          <w:color w:val="auto"/>
          <w:sz w:val="28"/>
          <w:szCs w:val="28"/>
        </w:rPr>
      </w:pPr>
      <w:r>
        <w:rPr>
          <w:rFonts w:ascii="Times New Roman" w:hAnsi="Times New Roman"/>
          <w:color w:val="auto"/>
          <w:sz w:val="28"/>
          <w:szCs w:val="28"/>
        </w:rPr>
        <w:t>9. Получение органом контроля сведений, содержащих признаки негативных процессов на земельном участке, влияющих на состояние земель и уровень плодородия почвы (ветровая и водная эрозия, сели, подтопление, заболачивание, иссушение).</w:t>
      </w:r>
    </w:p>
    <w:p w:rsidR="00C620B7" w:rsidRDefault="00C620B7" w:rsidP="00C620B7">
      <w:pPr>
        <w:autoSpaceDE w:val="0"/>
        <w:autoSpaceDN w:val="0"/>
        <w:ind w:firstLine="709"/>
        <w:jc w:val="both"/>
        <w:rPr>
          <w:rFonts w:ascii="Times New Roman" w:hAnsi="Times New Roman"/>
          <w:color w:val="auto"/>
          <w:sz w:val="28"/>
          <w:szCs w:val="28"/>
        </w:rPr>
      </w:pPr>
      <w:r>
        <w:rPr>
          <w:rFonts w:ascii="Times New Roman" w:hAnsi="Times New Roman"/>
          <w:color w:val="auto"/>
          <w:sz w:val="28"/>
          <w:szCs w:val="28"/>
        </w:rPr>
        <w:t>10. Зарастание земель сельскохозяйственного назначения сорной растительностью, деревьями и кустарниками, не относящимися к многолетним плодово-ягодным насаждениям.</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t>11.</w:t>
      </w:r>
      <w:r>
        <w:rPr>
          <w:rFonts w:ascii="Times New Roman" w:hAnsi="Times New Roman"/>
          <w:color w:val="auto"/>
          <w:sz w:val="24"/>
          <w:szCs w:val="24"/>
        </w:rPr>
        <w:t> Р</w:t>
      </w:r>
      <w:r>
        <w:rPr>
          <w:rFonts w:ascii="Times New Roman" w:hAnsi="Times New Roman"/>
          <w:sz w:val="28"/>
          <w:szCs w:val="28"/>
        </w:rPr>
        <w:t>азмещение на земельном участке объектов, целевое назначение которых не соответствует виду разрешенного использования земельного участка.</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lastRenderedPageBreak/>
        <w:t xml:space="preserve">12. Осуществление </w:t>
      </w:r>
      <w:r>
        <w:rPr>
          <w:rFonts w:ascii="Times New Roman" w:hAnsi="Times New Roman"/>
          <w:color w:val="auto"/>
          <w:sz w:val="28"/>
          <w:szCs w:val="28"/>
          <w:lang w:eastAsia="en-US"/>
        </w:rPr>
        <w:t xml:space="preserve">контролируемым лицом </w:t>
      </w:r>
      <w:r>
        <w:rPr>
          <w:rFonts w:ascii="Times New Roman" w:hAnsi="Times New Roman"/>
          <w:sz w:val="28"/>
          <w:szCs w:val="28"/>
        </w:rPr>
        <w:t>деятельности не соответствующей виду разрешенного использования земельного участка.</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t>13. Наличие признаков неиспользования земельных участков из земель сельскохозяйственного назначения по целевому назначению в 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в связи с неиспользованием по целевому назначению или с нарушением законодательства Российской Федерации.</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t>14. Наличие дерна на земельном участке из земель сельскохозяйственного назначения, характеризующегося переплетением корней, побегов, корневищ многолетних сорных растений, глубина которого достигает более 15 см (за исключением наличия дерна на земельных участках, предназначенных и используемых для выпаса сельскохозяйственных животных).</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t>15. Отсутствие работ по строительству объектов жилищного или иного строительства в течение трех лет.</w:t>
      </w:r>
    </w:p>
    <w:p w:rsidR="00C620B7" w:rsidRDefault="00C620B7" w:rsidP="00C620B7">
      <w:pPr>
        <w:widowControl/>
        <w:shd w:val="clear" w:color="auto" w:fill="FFFFFF"/>
        <w:ind w:firstLine="708"/>
        <w:jc w:val="both"/>
        <w:rPr>
          <w:rFonts w:ascii="Times New Roman" w:hAnsi="Times New Roman"/>
          <w:sz w:val="28"/>
          <w:szCs w:val="28"/>
        </w:rPr>
      </w:pPr>
      <w:r>
        <w:rPr>
          <w:rFonts w:ascii="Times New Roman" w:hAnsi="Times New Roman"/>
          <w:sz w:val="28"/>
          <w:szCs w:val="28"/>
        </w:rPr>
        <w:t>16. Наличие признаков неиспользования земельных участков из земель сельскохозяйственного назначения по целевому назначению в течение трех лет.</w:t>
      </w:r>
    </w:p>
    <w:p w:rsidR="00C620B7" w:rsidRDefault="00C620B7" w:rsidP="00C620B7">
      <w:pPr>
        <w:ind w:firstLine="708"/>
        <w:jc w:val="both"/>
        <w:outlineLvl w:val="1"/>
        <w:rPr>
          <w:rFonts w:ascii="Times New Roman" w:hAnsi="Times New Roman"/>
          <w:sz w:val="28"/>
          <w:szCs w:val="28"/>
        </w:rPr>
      </w:pPr>
      <w:r>
        <w:rPr>
          <w:rFonts w:ascii="Times New Roman" w:hAnsi="Times New Roman"/>
          <w:sz w:val="28"/>
          <w:szCs w:val="28"/>
        </w:rPr>
        <w:t>17. Отсутствие работ по приведению земельного участка в состояние, пригодное для использования по целевому назначению.</w:t>
      </w:r>
    </w:p>
    <w:p w:rsidR="00C620B7" w:rsidRDefault="00C620B7" w:rsidP="00C620B7">
      <w:pPr>
        <w:widowControl/>
        <w:ind w:left="4820"/>
        <w:rPr>
          <w:i/>
        </w:rPr>
      </w:pPr>
      <w:r>
        <w:rPr>
          <w:i/>
        </w:rPr>
        <w:t xml:space="preserve"> </w:t>
      </w:r>
    </w:p>
    <w:p w:rsidR="00C620B7" w:rsidRDefault="00C620B7" w:rsidP="00C620B7">
      <w:pPr>
        <w:widowControl/>
        <w:ind w:left="4820"/>
        <w:rPr>
          <w:i/>
        </w:rPr>
      </w:pPr>
    </w:p>
    <w:p w:rsidR="00C620B7" w:rsidRDefault="00C620B7" w:rsidP="00C620B7">
      <w:pPr>
        <w:widowControl/>
        <w:ind w:left="4820"/>
        <w:rPr>
          <w:i/>
        </w:rPr>
      </w:pPr>
    </w:p>
    <w:p w:rsidR="00C620B7" w:rsidRDefault="00C620B7" w:rsidP="00C620B7">
      <w:pPr>
        <w:widowControl/>
        <w:ind w:left="4820"/>
        <w:rPr>
          <w:i/>
        </w:rPr>
      </w:pPr>
    </w:p>
    <w:p w:rsidR="00C620B7" w:rsidRDefault="00C620B7" w:rsidP="00C620B7">
      <w:pPr>
        <w:widowControl/>
        <w:ind w:left="4820"/>
        <w:rPr>
          <w:i/>
        </w:rPr>
      </w:pPr>
    </w:p>
    <w:p w:rsidR="00302C8C" w:rsidRDefault="00302C8C"/>
    <w:sectPr w:rsidR="00302C8C" w:rsidSect="00887D9B">
      <w:pgSz w:w="11906" w:h="16838" w:code="9"/>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B7"/>
    <w:rsid w:val="00302C8C"/>
    <w:rsid w:val="00887D9B"/>
    <w:rsid w:val="00C6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B7"/>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B7"/>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Abramchuk</dc:creator>
  <cp:lastModifiedBy>Abramchuk</cp:lastModifiedBy>
  <cp:revision>1</cp:revision>
  <dcterms:created xsi:type="dcterms:W3CDTF">2022-04-11T07:38:00Z</dcterms:created>
  <dcterms:modified xsi:type="dcterms:W3CDTF">2022-04-11T07:40:00Z</dcterms:modified>
</cp:coreProperties>
</file>