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131" w:rsidRPr="00285017" w:rsidRDefault="00260131" w:rsidP="002850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017">
        <w:rPr>
          <w:rFonts w:ascii="Times New Roman" w:hAnsi="Times New Roman" w:cs="Times New Roman"/>
          <w:b/>
          <w:sz w:val="28"/>
          <w:szCs w:val="28"/>
        </w:rPr>
        <w:t xml:space="preserve">Обзор изменений законодательства Российской Федерации, </w:t>
      </w:r>
    </w:p>
    <w:p w:rsidR="00260131" w:rsidRPr="00285017" w:rsidRDefault="00260131" w:rsidP="002850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017">
        <w:rPr>
          <w:rFonts w:ascii="Times New Roman" w:hAnsi="Times New Roman" w:cs="Times New Roman"/>
          <w:b/>
          <w:sz w:val="28"/>
          <w:szCs w:val="28"/>
        </w:rPr>
        <w:t>Республики Коми по вопросам, касающимся полномочий</w:t>
      </w:r>
    </w:p>
    <w:p w:rsidR="00260131" w:rsidRPr="00285017" w:rsidRDefault="00260131" w:rsidP="002850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017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</w:t>
      </w:r>
    </w:p>
    <w:p w:rsidR="00260131" w:rsidRPr="00285017" w:rsidRDefault="00260131" w:rsidP="002850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017">
        <w:rPr>
          <w:rFonts w:ascii="Times New Roman" w:hAnsi="Times New Roman" w:cs="Times New Roman"/>
          <w:b/>
          <w:sz w:val="28"/>
          <w:szCs w:val="28"/>
        </w:rPr>
        <w:t xml:space="preserve">(за </w:t>
      </w:r>
      <w:r w:rsidR="009778DB" w:rsidRPr="00285017">
        <w:rPr>
          <w:rFonts w:ascii="Times New Roman" w:hAnsi="Times New Roman" w:cs="Times New Roman"/>
          <w:b/>
          <w:sz w:val="28"/>
          <w:szCs w:val="28"/>
        </w:rPr>
        <w:t>январь 2026</w:t>
      </w:r>
      <w:r w:rsidRPr="00285017">
        <w:rPr>
          <w:rFonts w:ascii="Times New Roman" w:hAnsi="Times New Roman" w:cs="Times New Roman"/>
          <w:b/>
          <w:sz w:val="28"/>
          <w:szCs w:val="28"/>
        </w:rPr>
        <w:t xml:space="preserve"> года) </w:t>
      </w:r>
    </w:p>
    <w:p w:rsidR="00260131" w:rsidRPr="00285017" w:rsidRDefault="00260131" w:rsidP="002850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31" w:rsidRPr="00285017" w:rsidRDefault="00260131" w:rsidP="0028501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131" w:rsidRPr="00285017" w:rsidRDefault="00260131" w:rsidP="0028501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017">
        <w:rPr>
          <w:rFonts w:ascii="Times New Roman" w:hAnsi="Times New Roman" w:cs="Times New Roman"/>
          <w:b/>
          <w:i/>
          <w:sz w:val="28"/>
          <w:szCs w:val="28"/>
        </w:rPr>
        <w:t>Изменения, внесенные в федеральные нормативные правовые акты</w:t>
      </w:r>
    </w:p>
    <w:p w:rsidR="00260131" w:rsidRPr="00285017" w:rsidRDefault="00260131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от 29.12.2025 № 577-ФЗ</w:t>
      </w: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«О внесении изменений в Федеральный закон «О защите конкуренции» и отдельные законодательные акты Российской Федерации»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Определены, в числе прочего, особенности проведения электронных торгов, единые сроки размещения организатором торгов извещения об их проведении, функции организатора торгов и оператора электронной площадки при проведении электронных торгов, особенности заключения договора с единственным участником торгов, случаи, при которых торги признаются несостоявшимися. 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ряд законодательных актов внесены корреспондирующие изменения, уточняющие порядок проведения торгов (аукциона, конкурса). 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Федеральный закон вступает в силу с 1 июля 2026 года, за исключением отдельных положений, вступающих в силу с 1 января 2027 года. 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Торги, решения о проведении которых приняты до 1 июля 2026 года, проводятся в порядке, предусмотренном нормативными правовыми актами РФ в редакции, действовавшей до 1 июля 2026 года. 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323" w:rsidRPr="00285017" w:rsidRDefault="001A0323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от 29.12.2025 № 567-ФЗ</w:t>
      </w: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«О внесении изменений в Федеральный закон «О государственном контроле (надзоре) и муниципальном контроле в Российской Федерации»</w:t>
      </w:r>
    </w:p>
    <w:p w:rsidR="001A0323" w:rsidRPr="00285017" w:rsidRDefault="001A0323" w:rsidP="002850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5017">
        <w:rPr>
          <w:sz w:val="28"/>
          <w:szCs w:val="28"/>
        </w:rPr>
        <w:t>В частности, закреплен срок уведомления контролируемого лица о проведении обязательного профилактического визита (не позднее чем за 24 часа до его начала).</w:t>
      </w:r>
    </w:p>
    <w:p w:rsidR="001A0323" w:rsidRPr="00285017" w:rsidRDefault="001A0323" w:rsidP="002850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5017">
        <w:rPr>
          <w:sz w:val="28"/>
          <w:szCs w:val="28"/>
        </w:rPr>
        <w:t xml:space="preserve">Предусмотрено, что решение контрольного (надзорного) органа о проведении контрольного (надзорного) мероприятия принимается также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контроля. </w:t>
      </w:r>
    </w:p>
    <w:p w:rsidR="001A0323" w:rsidRPr="00285017" w:rsidRDefault="001A0323" w:rsidP="002850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5017">
        <w:rPr>
          <w:sz w:val="28"/>
          <w:szCs w:val="28"/>
        </w:rPr>
        <w:t xml:space="preserve">На </w:t>
      </w:r>
      <w:r w:rsidR="00E562B9" w:rsidRPr="00285017">
        <w:rPr>
          <w:sz w:val="28"/>
          <w:szCs w:val="28"/>
        </w:rPr>
        <w:t xml:space="preserve">социально </w:t>
      </w:r>
      <w:r w:rsidRPr="00285017">
        <w:rPr>
          <w:sz w:val="28"/>
          <w:szCs w:val="28"/>
        </w:rPr>
        <w:t xml:space="preserve">ориентированных некоммерческих организаций, включенных в реестр, будут распространяться правила о сроках выездной проверки для малого и </w:t>
      </w:r>
      <w:proofErr w:type="spellStart"/>
      <w:r w:rsidRPr="00285017">
        <w:rPr>
          <w:sz w:val="28"/>
          <w:szCs w:val="28"/>
        </w:rPr>
        <w:t>микробизнеса</w:t>
      </w:r>
      <w:proofErr w:type="spellEnd"/>
      <w:r w:rsidRPr="00285017">
        <w:rPr>
          <w:sz w:val="28"/>
          <w:szCs w:val="28"/>
        </w:rPr>
        <w:t xml:space="preserve">. </w:t>
      </w:r>
    </w:p>
    <w:p w:rsidR="001A0323" w:rsidRPr="00285017" w:rsidRDefault="001A0323" w:rsidP="002850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5017">
        <w:rPr>
          <w:sz w:val="28"/>
          <w:szCs w:val="28"/>
        </w:rPr>
        <w:t xml:space="preserve">Настоящий Федеральный закон вступает в силу со дня его официального опубликования. </w:t>
      </w:r>
    </w:p>
    <w:p w:rsidR="001A0323" w:rsidRPr="00285017" w:rsidRDefault="001A0323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323" w:rsidRPr="00285017" w:rsidRDefault="001A0323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Федеральный закон от 29.12.2025 № 542-ФЗ</w:t>
      </w: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«О внесении изменений в статью 6 Федерального закона «О связи»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требования к условиям договора о пользовании имуществом, находящимся в государственной или муниципальной собственности, включающие в себя порядок взаимодействия организации связи с собственником или иным владельцем имущества, находящегося в государственной или муниципальной собственности, условия определения сроков пользования таким имуществом, условия определения соразмерной платы за пользование, ре</w:t>
      </w:r>
      <w:r w:rsidR="00DF5C15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гламентируются Правительством Российской Федерации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иное не установлено федеральными законами, Правительством Р</w:t>
      </w:r>
      <w:r w:rsidR="00DF5C15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имущества, находящегося в федеральной собственности, высшим исполнительным органом государственной власти субъекта </w:t>
      </w:r>
      <w:r w:rsidR="00DF5C15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имущества, находящегося в собственности субъекта </w:t>
      </w:r>
      <w:r w:rsidR="00DF5C15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органом местного самоуправления в отношении имущества, находящегося в муниципальной собственности, устанавливается порядок определения размера платы за пользование соответствующим имуществом. 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от заключения договора о пользовании имуществом, находящимся в государственной или муниципальной собственности, допускается в целях обеспечения обороны страны, безопасности государства и правопорядка, а также в случае, если в результате осуществления строительства и (или) эксплуатации средств связи и сооружений связи имущество, находящееся в государственной или муниципальной собственности, будет невозможно использовать в соответствии с его назначением либо будут нарушены требования законодательства </w:t>
      </w:r>
      <w:r w:rsidR="00DF5C15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Федеральный закон вступает в силу с 1 сентября 2026 года. 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положений пунктов 3 и 3.1 статьи 6 Федеральн</w:t>
      </w:r>
      <w:r w:rsidR="008330C8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закона от 7 июля 2003 года № 126-ФЗ «О связи»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настоящего Федерального закона) и подпункта 2 статьи 39.40 Земельного кодекса </w:t>
      </w:r>
      <w:r w:rsidR="00DF5C15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части, касающейся организаций связи, распространяется на юридических лиц, осуществляющих деятельность по строительству и (или) эксплуатации сооружений связи для размещения сетей связи оператором связи. 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от 28.12.2025 № 510-ФЗ</w:t>
      </w: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«О внесении изменений в Трудовой кодекс Российской Федерации»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в частности, что сведения о доходах, об имуществе и обязательствах имущественного характера, преду</w:t>
      </w:r>
      <w:r w:rsidR="008330C8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смотренные Федеральным законом «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</w:t>
      </w:r>
      <w:r w:rsidR="008330C8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одействии коррупции»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представляются только лицами, поступающими на должность руководителя государственного (муниципального) учреждения. 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Действующие руководители государственных (муниципальных) учреждений представляют сведения о расходах, предусмотренные </w:t>
      </w:r>
      <w:r w:rsidR="008330C8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«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контроле за соответствием расходов лиц, 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замещающих государственные д</w:t>
      </w:r>
      <w:r w:rsidR="008330C8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олжности, и иных лиц их доходам»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установленных законом случаях. 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установлен упрощенный порядок назначения на должность по решению Президента</w:t>
      </w:r>
      <w:r w:rsidR="008330C8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замещавших определенные должности государственной или муниципальной службы, в течение двух лет после увольнения с такой службы в организацию, в которой отдельные функции государственного управления организацией входили в должностные (служебные) обязанности этого служащего. 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от 28.12.2025 № 502-ФЗ</w:t>
      </w: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«О внесении изменений в Бюджетный кодекс Российской Федерации»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предусматривает, в частности, что в случае, если для достижения результатов предоставления субсидий, предусмотренных пунктами 1 и 7 статьи 78 </w:t>
      </w:r>
      <w:r w:rsidR="00B03C25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 (далее – БК РФ)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гранты в форме субсидий, осуществляется последующее их предоставление иным лицам (за исключением определенных случаев), отбор получателей таких средств осуществляется в порядке, установленном в соот</w:t>
      </w:r>
      <w:r w:rsidR="00FF1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пунктом 4 статьи 78</w:t>
      </w:r>
      <w:r w:rsidR="00FF171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БК РФ, а в отношении субсидий, предусмотренных абзацем вторым пункта</w:t>
      </w:r>
      <w:r w:rsidR="00FF1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пунктами 2 и 4 статьи 78</w:t>
      </w:r>
      <w:r w:rsidR="00FF171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БК РФ - в соответствии с пунктом 4 статьи 78 БК РФ. 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предоставления таких средств определяются в соответствии с нормативными правовыми актами (муниципальными правовыми актами), указанными в соответствующих положениях БК РФ. 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законом определен порядок применения новых положений БК РФ. 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вступает в силу с 1 января 2026 года. 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65A" w:rsidRPr="00285017" w:rsidRDefault="00D2665A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Правительства РФ от 19.01.2026 № 11</w:t>
      </w: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«О внесении изменений в некоторые акты Правительства Российской Федерации»</w:t>
      </w:r>
    </w:p>
    <w:p w:rsidR="00D2665A" w:rsidRPr="00285017" w:rsidRDefault="00D2665A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уточнения в правила исчисления периодов работы в сельском хозяйстве, дающей право на надбавку к фиксированной выплате при назначении пенсии (исключено условие о том, что надбавка устанавливается только на период проживания в сельской местности, а также исключено ограничение «не более 6 лет» в части периодов ухода за детьми). </w:t>
      </w:r>
    </w:p>
    <w:p w:rsidR="00D2665A" w:rsidRPr="00285017" w:rsidRDefault="00D2665A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постановления распространяется на правоотношения, возникшие с 1 января 2026 г. </w:t>
      </w:r>
    </w:p>
    <w:p w:rsidR="006869CB" w:rsidRPr="00285017" w:rsidRDefault="006869CB" w:rsidP="00285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6D" w:rsidRPr="00285017" w:rsidRDefault="00D2665A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Письмо Минфина России от 20.01.2026 № 24-01-06/3022</w:t>
      </w: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«Об изменении цен контрактов,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D2665A" w:rsidRPr="00285017" w:rsidRDefault="00D2665A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 является существенным условием контракта, в связи с чем его изменение допускается исключительно в случаях и в пределах, 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предусмотренных </w:t>
      </w:r>
      <w:r w:rsidR="00AD14B7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</w:t>
      </w:r>
      <w:r w:rsidR="00AD14B7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05.04.2013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44-ФЗ</w:t>
      </w:r>
      <w:r w:rsidR="00AD14B7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Федеральный закон                № 44-ФЗ).</w:t>
      </w:r>
    </w:p>
    <w:p w:rsidR="00D2665A" w:rsidRPr="00285017" w:rsidRDefault="00D2665A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="00AD14B7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№ 44-ФЗ 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позволяют по соглашению сторон осуществить изменение любых существенных условий контракта, заключенного до 1 января 2027 г., если возникли независящие от сторон обстоятельства, влекущие невозможность его исполнения. </w:t>
      </w:r>
    </w:p>
    <w:p w:rsidR="00D2665A" w:rsidRPr="00285017" w:rsidRDefault="00D2665A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изменение осуществляется на основании решения Правительства РФ, высшего испо</w:t>
      </w:r>
      <w:r w:rsidR="00AD14B7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лнительного органа субъекта Российской Федерации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местной администрации. </w:t>
      </w:r>
    </w:p>
    <w:p w:rsidR="00D2665A" w:rsidRPr="00285017" w:rsidRDefault="00D2665A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положениями </w:t>
      </w:r>
      <w:r w:rsidR="00AD14B7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№ 44-ФЗ 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ограничивается возможность предусмотреть в принимаемом решении особые условия и (или) определить круг контрактов (сферу правоотношений), на которые распространяется такое решение. </w:t>
      </w:r>
    </w:p>
    <w:p w:rsidR="00AA38C4" w:rsidRPr="00285017" w:rsidRDefault="00AA38C4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65A" w:rsidRPr="00285017" w:rsidRDefault="00AA38C4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Письмо Минстроя России от 08.12.2025 № 34614-ОГ/00</w:t>
      </w: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«По вопросу индексации размера платы за содержание жилого помещения»</w:t>
      </w:r>
    </w:p>
    <w:p w:rsidR="00AA38C4" w:rsidRPr="00285017" w:rsidRDefault="00AA38C4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Сообщается, что в случае проведения органом местного самоуправления открытого конкурса по отбору управляющей организации для управления многоквартирным домом, по результатам которого с отобранной управляющей организацией заключен договор управления многоквартирным домом, условия которого предусматривают индексацию размера платы за содержание жилого помещения, индексация может производиться с учетом индекса потребительских цен. </w:t>
      </w:r>
    </w:p>
    <w:p w:rsidR="00AA38C4" w:rsidRPr="00285017" w:rsidRDefault="00AA38C4" w:rsidP="00285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8C4" w:rsidRPr="00285017" w:rsidRDefault="00AA38C4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Письмо </w:t>
      </w:r>
      <w:proofErr w:type="spellStart"/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Минпросвещения</w:t>
      </w:r>
      <w:proofErr w:type="spellEnd"/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России от 29.12.2025 № ОК-3823/03</w:t>
      </w: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«О направлении информации»</w:t>
      </w:r>
    </w:p>
    <w:p w:rsidR="00AA38C4" w:rsidRPr="00285017" w:rsidRDefault="00DF5C15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A38C4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ообщается, в частности, следующее: </w:t>
      </w:r>
    </w:p>
    <w:p w:rsidR="00AA38C4" w:rsidRPr="00285017" w:rsidRDefault="00AA38C4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выборе родителями (законными представителями) несовершеннолетнего обучающегося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проживают, в течение 15 календарных дней с момента утверждения приказа об отчислении обучающегося из общеобразовательной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образование; </w:t>
      </w:r>
    </w:p>
    <w:p w:rsidR="00AA38C4" w:rsidRPr="00285017" w:rsidRDefault="00AA38C4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обучающиеся в форме семейного образования зачисляются в образовательную организацию на период прохождения конкретной аттестации - промежуточной аттестации и (или) государственной итоговой аттестации и являются экстернами; </w:t>
      </w:r>
    </w:p>
    <w:p w:rsidR="00AA38C4" w:rsidRPr="00285017" w:rsidRDefault="00AA38C4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для обучающихся в форме семейного образования по согласованию с ними или родителями (законными представителями) несовершеннолетних обучающихся утверждается график прохождения промежуточной аттестации; </w:t>
      </w:r>
    </w:p>
    <w:p w:rsidR="00AA38C4" w:rsidRPr="00285017" w:rsidRDefault="00AA38C4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обучающиеся имеют право на зачет образовательной организацией результатов промежуточной аттестации, пройденной в других образовательных организациях. </w:t>
      </w:r>
    </w:p>
    <w:p w:rsidR="00AA38C4" w:rsidRPr="00285017" w:rsidRDefault="00AA38C4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Письмо Минстроя России от 23.12.2025 № 36490-ОГ/00</w:t>
      </w: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«О содержании и проведении ремонтных работ на детских игровых площадках, парковочных местах, тротуарах и </w:t>
      </w:r>
      <w:proofErr w:type="spellStart"/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внутридворовых</w:t>
      </w:r>
      <w:proofErr w:type="spellEnd"/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проездах, расположенных на </w:t>
      </w:r>
      <w:proofErr w:type="spellStart"/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откадастрированном</w:t>
      </w:r>
      <w:proofErr w:type="spellEnd"/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земельном участке, предназначенном для строительства многоквартирного жилого дома»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Сообщается, что надлежащее содержание таких элементов благоустройства, детских и спортивных площадок относится к обязанностям лица, осуществляющего управление многоквартирным домом (управляющая организация, товарищество собственников жилья, жилищный или жилищно-строительный кооператив), и оплачивается за счет денежных средств, вносимых собственниками в качестве платы за содержание жилого помещения в многоквартирном доме. </w:t>
      </w:r>
    </w:p>
    <w:p w:rsidR="00AA38C4" w:rsidRPr="00285017" w:rsidRDefault="001457AD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земельный участок не сформирован и не включен в состав общего имущества собственников помещений в многоквартирном доме, содержание такого земельного участка, включая тротуары, паркинги, детские и спортивные площадки, зоны отдыха и другие элементы благоустройства, расположенные в границах такого земельного участка, осуществляется органами местного самоуправления. </w:t>
      </w:r>
    </w:p>
    <w:p w:rsidR="001457AD" w:rsidRPr="00285017" w:rsidRDefault="001457AD" w:rsidP="00285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8C4" w:rsidRPr="00285017" w:rsidRDefault="00AA38C4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 Минтранса России от 19.01.2026 № АШ-8-р</w:t>
      </w: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«Об утверждении методических рекомендаций по оценке показателей доступности для инвалидов транспортного комплекса»</w:t>
      </w:r>
    </w:p>
    <w:p w:rsidR="00AA38C4" w:rsidRPr="00285017" w:rsidRDefault="00AA38C4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определяет алгоритм и основные процедуры оценки показателей доступности, рекомендован для использования при проведении оценки показателей доступности федеральными органами исполнительной власти, исполнительными органами субъектов </w:t>
      </w:r>
      <w:r w:rsidR="00990745"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органами местного самоуправления, ответственными за исполнение требований доступности для инвалидов транспортного комплекса, перевозчиками, владельцами инфраструктуры, направлен на оказание практической помощи, не содержит обязательных требований, не устанавливает правовых норм и носит разъяснительный характер. </w:t>
      </w:r>
    </w:p>
    <w:p w:rsidR="00AA38C4" w:rsidRPr="00285017" w:rsidRDefault="00AA38C4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рекомендуется применять при реконструкции, капитальном и текущем ремонте, эксплуатации существующих зданий и сооружений, ремонте и содержании автомобильных дорог, а также при решении вопросов, связанных с созданием условий доступности для инвалидов объектов транспортной инфраструктуры, предоставляемых транспортных услуг и оказания им при этом необходимой помощи, с целью обеспечения для инвалидов равных условий жизнедеятельности с другими гражданами, с 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учетом обеспечения реализации принципов "универсального дизайна" и "разумного приспособления". </w:t>
      </w:r>
    </w:p>
    <w:p w:rsidR="00AA38C4" w:rsidRPr="00285017" w:rsidRDefault="00AA38C4" w:rsidP="00285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8C4" w:rsidRPr="00285017" w:rsidRDefault="00AA38C4" w:rsidP="00285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8C4" w:rsidRPr="00285017" w:rsidRDefault="00AA38C4" w:rsidP="00285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8A4" w:rsidRPr="00285017" w:rsidRDefault="007B08A4" w:rsidP="00285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017">
        <w:rPr>
          <w:rFonts w:ascii="Times New Roman" w:hAnsi="Times New Roman" w:cs="Times New Roman"/>
          <w:b/>
          <w:i/>
          <w:sz w:val="28"/>
          <w:szCs w:val="28"/>
        </w:rPr>
        <w:t>Изменения, внесенные в законодательство Республики Коми</w:t>
      </w:r>
    </w:p>
    <w:p w:rsidR="00AF342F" w:rsidRPr="00285017" w:rsidRDefault="00AF342F" w:rsidP="00285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BC9" w:rsidRPr="00285017" w:rsidRDefault="00BB3BC9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 Республики Коми от 30.12.2025 № 68-РЗ «О внесении изменений в некоторые законодательные акты Республики Коми по вопросам, связанным с предоставлением мер социальной поддержки по обеспечению жильем отдельных категорий граждан»</w:t>
      </w:r>
    </w:p>
    <w:p w:rsidR="00BB3BC9" w:rsidRPr="00285017" w:rsidRDefault="00BB3BC9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Закон Республики Коми от 24.12.2021 № 160-РЗ «О дополнительной мере социальной поддержки лиц, которые относились к категории детей-сирот, детей, оставшихся без попечения родителей, лиц из числа детей-сирот и детей, оставшихся без попечения родителей, и достигли возраста 23 лет» внесены изменения в части снижения до 21 года возраста лиц - претендентов на получение дополнительной меры социальной поддержки в виде единовременной социальной выплаты на приобретение жилого помещения; установления преимущественного права на предоставление социальной выплаты лицам, включенным в список лиц, которые подлежат обеспечению жилыми помещениями муниципального специализированного жилищного фонда, предоставляемыми по договорам найма специализированных жилых помещений, в соответствии со статьей 8 Федерального закона «О дополнительных гарантиях по социальной поддержке детей-сирот и детей, оставшихся без попечения родителей» и статьей 3 Закона Республики Коми «О некоторых вопросах, связанных с предоставлением мер социальной поддержки по обеспечению жильем (жилыми помещениями) отдельных категорий граждан», принимавшим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выполнявшим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перед другими лицами, включенными в список. </w:t>
      </w:r>
    </w:p>
    <w:p w:rsidR="00BB3BC9" w:rsidRPr="00285017" w:rsidRDefault="00BB3BC9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Законе</w:t>
      </w:r>
      <w:r w:rsidR="00DF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 от 25.12.2015 №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134-РЗ «О некоторых вопросах, связанных с предоставлением мер социальной поддержки по обеспечению жильем (жилыми помещениями) отдельных категорий граждан» уточнено, что 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выполнявшие задачи по отражению вооруженного вторжения на территорию 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гражданами, включенными в список. </w:t>
      </w:r>
    </w:p>
    <w:p w:rsidR="00BB3BC9" w:rsidRPr="00285017" w:rsidRDefault="00BB3BC9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Законе Республики Коми от 01.12.2015 № 115-РЗ «О наделении органов местного самоуправления в Республике Коми отдельными государственными полномочиями Республики Коми» часть изменений связана с заменой слов «Службой Республики Коми строительного, жилищного и технического надзора (контроля)» словами «Службой строительного и жилищного контроля (надзора) Республики Коми»; слов «Министерством труда, занятости и социальной защиты Республики Коми» словами «Министерством труда и социальной защиты Республики Коми»; слов «Министерством сельского хозяйства и потребительского рынка Республики Коми» словами «Службой ветеринарии Республики Коми». </w:t>
      </w:r>
    </w:p>
    <w:p w:rsidR="00BB3BC9" w:rsidRPr="00285017" w:rsidRDefault="00BB3BC9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связи со снижением нижней границы возраста лиц, имеющих право на предоставление единовременной социальной выплаты на приобретение жилого помещения, внесены соответствующие изменения в Методику расчета размера субвенции, выделяемой из республиканского бюджета Республики Коми бюджету муниципального района, муниципального округа, городского округа на осуществление государственного полномочия Республики Коми, предусмотренного пунктом 14 статьи 1 Закона Республики Коми «О наделении органов местного самоуправления в Республике Коми отдельными государственными полномочиями Республики Коми».</w:t>
      </w:r>
    </w:p>
    <w:p w:rsidR="00BB3BC9" w:rsidRPr="00285017" w:rsidRDefault="00BB3BC9" w:rsidP="00285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BC9" w:rsidRPr="00285017" w:rsidRDefault="00BB3BC9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 Республики Коми от 30.12.2025 № 70-РЗ «О внесении изменений в Закон Республики Коми «О противодействии коррупции в Республике Коми»</w:t>
      </w:r>
    </w:p>
    <w:p w:rsidR="00BB3BC9" w:rsidRPr="00285017" w:rsidRDefault="00BB3BC9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представления гражданами, претендующими на замещение муниципальных должностей в Республике Коми, должностей глав (руководителей) местных администраций муниципальных образований по контракту, и лицами, замещающими указанные должности, сведений о доходах, расходах, об имуществе и обязательствах имущественного характера дополнено положениями, предусматривающими, что временно исполняющим полномочия главы муниципального образования, назначаемым Главой Республики Коми в случаях, предусмотренных частью 6 статьи 19 и частью 16 статьи 21 Федерального закона «Об общих принципах организации местного самоуправления в единой системе публичной власти», сведения о доходах, об имуществе и обязательствах имущественного характера представляются в течение 15 дней со дня назначения; указанное лицо представляет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характера своих супруги (супруга) и несовершеннолетних детей в соответствии с частью 27 статьи 19 Федерального закона «Об общих принципах организации местного самоуправления в единой системе публичной власти». </w:t>
      </w:r>
    </w:p>
    <w:p w:rsidR="00BB3BC9" w:rsidRPr="00285017" w:rsidRDefault="00BB3BC9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 в Республике Коми, должностей глав (руководителей) местных администраций муниципальных образований по контракту, и лицами, замещающими указанные должности, дополнено нормами, предусматривающими направление проектов запросов о предоставлении информации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в рамках антикоррупционных проверок. </w:t>
      </w:r>
    </w:p>
    <w:p w:rsidR="00BB3BC9" w:rsidRPr="00285017" w:rsidRDefault="00BB3BC9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Порядок предварительного уведомления Главы Республики Коми об участии на безвозмездной основе в управлении некоммерческой организацией лицами, замещающими государственные должности Республики Коми, муниципальные должности в Республике Коми и осуществляющими свои полномочия на постоянной основе, внесены изменения в части исключения положения о предварительном уведомлении Главы Республики Коми лицами, замещающими муниципальные должности в Республике Коми и осуществляющими свои полномочия на постоянной основе, об участии на безвозмездной основе в управлении некоммерческой организацией, кроме участия в управлении органом профессионального союза, в том числе выборным органом первичной профсоюзной организации, созданной в аппарате избирательной комиссии муниципального образования. </w:t>
      </w:r>
    </w:p>
    <w:p w:rsidR="00BB3BC9" w:rsidRPr="00285017" w:rsidRDefault="00BB3BC9" w:rsidP="00285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BC9" w:rsidRPr="00285017" w:rsidRDefault="00BB3BC9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Закон Республики Коми от 30.12.2025 № 72-РЗ «О внесении изменения в статью 14 Закона Республики Коми «Об инвестиционной деятельности на территории Республики Коми» </w:t>
      </w:r>
    </w:p>
    <w:p w:rsidR="00BB3BC9" w:rsidRPr="00285017" w:rsidRDefault="00BB3BC9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31 декабря 2025 года до 31 декабря 2028 года продлен срок действия положения, предусматривающего одновременное выполнение установленных требований для предоставления юридическому лицу, реализующему и (или) планирующему реализацию масштабного инвестиционного проекта, земельного участка, находящегося в государственной или муниципальной собственности, в аренду без проведения торгов. </w:t>
      </w:r>
    </w:p>
    <w:p w:rsidR="0008547F" w:rsidRPr="00285017" w:rsidRDefault="0008547F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47F" w:rsidRPr="00285017" w:rsidRDefault="0008547F" w:rsidP="0028501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85017">
        <w:rPr>
          <w:b/>
          <w:sz w:val="28"/>
          <w:szCs w:val="28"/>
        </w:rPr>
        <w:t>Закон Республики Коми от 30.12.2025 № 73-РЗ «О внесении изменений в законы Республики Коми по вопросам организации и проведения выборов и референдумов в Республике Коми»</w:t>
      </w:r>
    </w:p>
    <w:p w:rsidR="0008547F" w:rsidRPr="00285017" w:rsidRDefault="0008547F" w:rsidP="002850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5017">
        <w:rPr>
          <w:sz w:val="28"/>
          <w:szCs w:val="28"/>
        </w:rPr>
        <w:lastRenderedPageBreak/>
        <w:t>Закон Республики Коми от 27.09.2010 № 88-РЗ «О выборах и референдумах в Республике Коми» дополнен положениями, предусматривающими, что решением Избирательной комиссии Республики Коми, принятым по согласованию с Центральной избирательной комиссией Российской Федерации, полномочия территориальной избирательной комиссии могут быть прекращены досрочно в случае изменения административно-территориального устройства Республики Коми, повлекшего упразднение административно-территориальной единицы, либо в случае преобразования соответствующего муниципального образования; дополнительные выборы депутатов Государственного Совета Республики Коми, представительного органа муниципального образования не назначаются и не проводятся в год, предшествующий году проведения основных выборов депутатов Государственного Совета Республики Коми, данного представительного органа муниципального образования, а также в год проведения указанных выборов, за исключением случая, если в результате досрочного прекращения депутатами полномочий Государственный Совет Республики Коми, представительный орган муниципального образования остались в неправомочном составе.</w:t>
      </w:r>
    </w:p>
    <w:p w:rsidR="00BB3BC9" w:rsidRPr="00285017" w:rsidRDefault="00BB3BC9" w:rsidP="00285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618" w:rsidRPr="00285017" w:rsidRDefault="00821618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Правительства РК от 14.01.2026 № 1 «О внесении изменений в постановление Правительства Республики Коми от 31 октября 2019 г. № 520 «О Государственной программе Республики Коми «Развитие строительства, обеспечение доступным и комфортным жильем и коммунальными услугами граждан»</w:t>
      </w:r>
    </w:p>
    <w:p w:rsidR="00821618" w:rsidRPr="00285017" w:rsidRDefault="00821618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программа дополнена Правилами предоставления субсидий из республиканского бюджета Республики Коми бюджетам муниципальных образований на реализацию отдельных мероприятий в сфере благоустройства, предусматривающими, что целью предоставления субсидии является </w:t>
      </w:r>
      <w:proofErr w:type="spellStart"/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муниципального образования, возникающих при осуществлении отдельных мероприятий в сфере благоустройства, направленных на финансовое обеспечение затрат по уплате лизинговых платежей по договорам лизинга, заключенным в 2025 году, на приобретение оборудования, необходимого для праздничного оформления территорий населенных пунктов, входящих в состав муниципального образования; критерием отбора муниципальных образований для предоставления субсидии является наличие статуса административного центра Республики Коми; предельный уровень </w:t>
      </w:r>
      <w:proofErr w:type="spellStart"/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обязательства муниципального образования из республиканского бюджета Республики Коми определяется в размере 90 процентов; условием расходования субсидий является целевое использование средств субсидий муниципальными образованиями; субсидии являются целевыми и не могут быть направлены на иные цели. </w:t>
      </w:r>
    </w:p>
    <w:p w:rsidR="00821618" w:rsidRPr="00285017" w:rsidRDefault="00821618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Государственная программа дополнена Правилами предоставления из республиканского бюджета Республики Коми субвенций на осуществление государственного полномочия Республики Коми, 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предусмотренного пунктом 14 статьи 1 Закона Республики Коми «О наделении органов местного самоуправления в Республике Коми отдельными государственными полномочиями Республики Коми», предусматривающими, что предоставление субвенций осуществляется Министерством строительства и жилищно-коммунального хозяйства Республики Коми в соответствии с распределением, установленным законом Республики Коми о республиканском бюджете Республики Коми на очередной финансовый год и плановый период, в рамках реализации комплекса процессных мероприятий «Осуществление переданных государственных полномочий муниципальным образованиям» Государственной программы Республики Коми «Развитие строительства, обеспечение доступным и комфортным жильем и коммунальными услугами граждан»; перечисление субвенций осуществляется Министерством строительства и жилищно-коммунального хозяйства Республики Коми в пределах суммы, необходимой для оплаты денежных обязательств получателей средств бюджетов муниципальных образований, соответствующих направлению расходов; перечисление субвенций осуществляется Управлением Федерального казначейства по Республике Коми; доведение Министерством строительства и жилищно-коммунального хозяйства Республики Коми предельных объемов финансирования на предоставление субвенции осуществляется ежемесячно равными частями не позднее 15-го числа текущего месяца; средства субвенций являются целевыми и не могут быть использованы по иному назначению; нецелевое использование средств субвенций влечет применение мер ответственности в соответствии с законодательством Российской Федерации. </w:t>
      </w:r>
    </w:p>
    <w:p w:rsidR="00552E56" w:rsidRPr="00285017" w:rsidRDefault="00821618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52E56" w:rsidRPr="00285017" w:rsidRDefault="00552E56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Правительства РК от 23.01.2026 № 17 «Об утверждении перечня случаев, при которых гражданам, выселяемым по основаниям, которые </w:t>
      </w:r>
      <w:r w:rsidR="00BE3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предусмотрены статьями 86 и 87</w:t>
      </w:r>
      <w:r w:rsidR="00BE321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Pr="00285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Жилищного кодекса Российской Федерации, с согласия в письменной форме нанимателя и проживающих совместно с ним членов его семьи, в том числе временно отсутствующих членов его семьи, взамен предоставления другого благоустроенного жилого помещения по договору социального найма может быть выплачено денежное возмещение, и об определении размера такого возмещения» </w:t>
      </w:r>
    </w:p>
    <w:p w:rsidR="00B5780B" w:rsidRPr="00285017" w:rsidRDefault="00B5780B" w:rsidP="0028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к случаям, при которых гражданам, выселяемым по основаниям, которые </w:t>
      </w:r>
      <w:r w:rsidR="00BE32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статьями 86 и 87</w:t>
      </w:r>
      <w:r w:rsidR="00BE32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Федерации, с согласия в письменной форме нанимателя и проживающих совместно с ним членов его семьи, в том числе временно отсутствующих членов его семьи, взамен предоставления другого благоустроенного жилого помещения по договору социального найма может быть выплачено денежное возмещение, отнесены письменный отказ гражданина - нанимателя жилого помещения по договору социального найма и всех проживающих совместно с ним членов его семьи (в том числе временно отсутствующих), выселяемых по основаниям, которые </w:t>
      </w:r>
      <w:r w:rsidR="00BE32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статьями 86 и 87</w:t>
      </w:r>
      <w:r w:rsidR="00BE32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Федерации, от </w:t>
      </w:r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взамен другого благоустроенного жилого помещения по договору социального найма; отсутствие в государственном жилищном фонде Республики Коми (в случае проживания гражданина - нанимателя в изымаемом жилом помещении государственного жилищного фонда Республики Коми по договору социального найма) и в муниципальном жилищном фонде (в случае проживания гражданина - нанимателя в изымаемом жилом помещении муниципального жилищного фонда по договору социального найма) свободных пригодных для постоянного проживания жилых помещений соответствующих требованиям части 1 статьи 89 Жилищного кодекса Российской Федерации, для переселения граждан, выселяемых из занимаемых по договорам социального найма жилых помещений, по основаниям, которые </w:t>
      </w:r>
      <w:r w:rsidR="00BE32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статьями 86 и 87</w:t>
      </w:r>
      <w:r w:rsidR="00BE32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bookmarkStart w:id="0" w:name="_GoBack"/>
      <w:bookmarkEnd w:id="0"/>
      <w:r w:rsidRPr="0028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Федерации. </w:t>
      </w:r>
    </w:p>
    <w:p w:rsidR="00B5780B" w:rsidRPr="00285017" w:rsidRDefault="00B5780B" w:rsidP="00285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618" w:rsidRPr="00285017" w:rsidRDefault="00821618" w:rsidP="0028501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21618" w:rsidRPr="00821618" w:rsidRDefault="00821618" w:rsidP="0082161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21618" w:rsidRPr="0082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E3"/>
    <w:rsid w:val="0008547F"/>
    <w:rsid w:val="000A4DB3"/>
    <w:rsid w:val="000B46A4"/>
    <w:rsid w:val="001457AD"/>
    <w:rsid w:val="001A0323"/>
    <w:rsid w:val="001E6FF9"/>
    <w:rsid w:val="00260131"/>
    <w:rsid w:val="00280D56"/>
    <w:rsid w:val="00285017"/>
    <w:rsid w:val="00347D42"/>
    <w:rsid w:val="003562C5"/>
    <w:rsid w:val="003D4F75"/>
    <w:rsid w:val="00461800"/>
    <w:rsid w:val="004853C1"/>
    <w:rsid w:val="00552E56"/>
    <w:rsid w:val="00630E36"/>
    <w:rsid w:val="006612EA"/>
    <w:rsid w:val="006869CB"/>
    <w:rsid w:val="00767187"/>
    <w:rsid w:val="007B08A4"/>
    <w:rsid w:val="00821618"/>
    <w:rsid w:val="008239D7"/>
    <w:rsid w:val="008330C8"/>
    <w:rsid w:val="00880394"/>
    <w:rsid w:val="00897B53"/>
    <w:rsid w:val="008B7791"/>
    <w:rsid w:val="00937A1D"/>
    <w:rsid w:val="009778DB"/>
    <w:rsid w:val="00990745"/>
    <w:rsid w:val="00A559EC"/>
    <w:rsid w:val="00A87353"/>
    <w:rsid w:val="00AA38C4"/>
    <w:rsid w:val="00AD14B7"/>
    <w:rsid w:val="00AF342F"/>
    <w:rsid w:val="00B03C25"/>
    <w:rsid w:val="00B04E7E"/>
    <w:rsid w:val="00B365B1"/>
    <w:rsid w:val="00B5780B"/>
    <w:rsid w:val="00BB3BC9"/>
    <w:rsid w:val="00BC2A6D"/>
    <w:rsid w:val="00BE3211"/>
    <w:rsid w:val="00CA36C1"/>
    <w:rsid w:val="00CF4ACE"/>
    <w:rsid w:val="00D2665A"/>
    <w:rsid w:val="00D479E5"/>
    <w:rsid w:val="00D7163D"/>
    <w:rsid w:val="00D82FE3"/>
    <w:rsid w:val="00D837CC"/>
    <w:rsid w:val="00DF5C15"/>
    <w:rsid w:val="00DF701A"/>
    <w:rsid w:val="00E562B9"/>
    <w:rsid w:val="00EA7AEA"/>
    <w:rsid w:val="00EE237F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C11B"/>
  <w15:chartTrackingRefBased/>
  <w15:docId w15:val="{405C93BD-C569-46B2-BA27-7D9103BC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26013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260131"/>
  </w:style>
  <w:style w:type="paragraph" w:styleId="a6">
    <w:name w:val="Balloon Text"/>
    <w:basedOn w:val="a"/>
    <w:link w:val="a7"/>
    <w:uiPriority w:val="99"/>
    <w:semiHidden/>
    <w:unhideWhenUsed/>
    <w:rsid w:val="001E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6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4029</Words>
  <Characters>22968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Надуткина Юлия Дмитриевна</dc:creator>
  <cp:keywords/>
  <dc:description/>
  <cp:lastModifiedBy>Надуткина Юлия Дмитриевна</cp:lastModifiedBy>
  <cp:revision>23</cp:revision>
  <cp:lastPrinted>2026-02-02T08:11:00Z</cp:lastPrinted>
  <dcterms:created xsi:type="dcterms:W3CDTF">2025-08-01T08:56:00Z</dcterms:created>
  <dcterms:modified xsi:type="dcterms:W3CDTF">2026-02-02T12:08:00Z</dcterms:modified>
</cp:coreProperties>
</file>