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5" w:rsidRDefault="00702B45" w:rsidP="0070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B45" w:rsidRPr="002D2ECF" w:rsidRDefault="00702B45" w:rsidP="00702B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 xml:space="preserve">Федеральным законом от 02.04.2014 № 63-ФЗ, вступившим в законную силу с 13.04.2014, внесены изменения в Федеральный закон «Об оружии». </w:t>
      </w:r>
    </w:p>
    <w:p w:rsidR="00702B45" w:rsidRPr="00B7311F" w:rsidRDefault="00702B45" w:rsidP="0070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>Принятым законом запрещена выдача лицензий на оружие лицам, имеющим снятую или погашенную судимость за тяжкие или особо тяжкие преступления, совершенные с применением оружия.</w:t>
      </w:r>
    </w:p>
    <w:p w:rsidR="00702B45" w:rsidRPr="00B7311F" w:rsidRDefault="00702B45" w:rsidP="0070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>Аналогичный запрет установлен для лиц, которые совершили повторно в течение года административное правонарушение, связанное с нарушением общественного порядка, порядка управления, правил охоты или незаконным оборотом наркотиков. Запрет будет действовать до окончания срока, в течение которого лицо считается подвергнутым наказанию.</w:t>
      </w:r>
    </w:p>
    <w:p w:rsidR="00702B45" w:rsidRPr="00B7311F" w:rsidRDefault="00702B45" w:rsidP="0070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>Одновременно из части десятой статьи 13 Закона об оружии исключен запрет на приобретение охотничьего и спортивного огнестрельного оружия с нарезным стволом гражданами, которые ранее совершали правонарушения в сфере оборота оружия.</w:t>
      </w:r>
    </w:p>
    <w:p w:rsidR="00702B45" w:rsidRPr="00B7311F" w:rsidRDefault="00702B45" w:rsidP="0070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>Данный запрет был признан неконституционным Постановлением Конституционного Суда РФ от 29.06.2012 N 16-П, так как не конкретизировал срок запрета и вид юридической ответственности, в связи с которой установлен запрет, и позволял рассматривать его как установленный бессрочно.</w:t>
      </w: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2B45"/>
    <w:rsid w:val="00636D61"/>
    <w:rsid w:val="0070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RudSOFT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2014-06-30T14:52:00Z</dcterms:created>
  <dcterms:modified xsi:type="dcterms:W3CDTF">2014-06-30T14:52:00Z</dcterms:modified>
</cp:coreProperties>
</file>