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51" w:rsidRDefault="00976351" w:rsidP="00976351">
      <w:pPr>
        <w:tabs>
          <w:tab w:val="left" w:pos="7660"/>
        </w:tabs>
        <w:rPr>
          <w:rFonts w:ascii="Times New Roman" w:hAnsi="Times New Roman"/>
        </w:rPr>
      </w:pPr>
      <w:bookmarkStart w:id="0" w:name="_GoBack"/>
      <w:bookmarkEnd w:id="0"/>
    </w:p>
    <w:p w:rsidR="00976351" w:rsidRDefault="00976351" w:rsidP="0097635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0160" r="1397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76351" w:rsidRDefault="00976351" w:rsidP="00976351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76351" w:rsidRDefault="00976351" w:rsidP="00976351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0160" r="825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976351" w:rsidRDefault="00976351" w:rsidP="009763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976351" w:rsidRDefault="00976351" w:rsidP="009763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76351" w:rsidRDefault="00976351" w:rsidP="00976351">
      <w:pPr>
        <w:jc w:val="center"/>
        <w:rPr>
          <w:rFonts w:ascii="Times New Roman" w:hAnsi="Times New Roman"/>
          <w:sz w:val="26"/>
          <w:szCs w:val="26"/>
        </w:rPr>
      </w:pPr>
    </w:p>
    <w:p w:rsidR="00976351" w:rsidRDefault="00976351" w:rsidP="00976351">
      <w:pPr>
        <w:rPr>
          <w:rFonts w:ascii="Times New Roman" w:hAnsi="Times New Roman"/>
          <w:sz w:val="26"/>
          <w:szCs w:val="26"/>
        </w:rPr>
      </w:pPr>
    </w:p>
    <w:p w:rsidR="00976351" w:rsidRDefault="00976351" w:rsidP="00976351">
      <w:pPr>
        <w:rPr>
          <w:rFonts w:ascii="Times New Roman" w:hAnsi="Times New Roman"/>
          <w:sz w:val="26"/>
          <w:szCs w:val="26"/>
        </w:rPr>
      </w:pPr>
    </w:p>
    <w:p w:rsidR="00976351" w:rsidRDefault="00976351" w:rsidP="00976351">
      <w:pPr>
        <w:tabs>
          <w:tab w:val="left" w:pos="3210"/>
        </w:tabs>
        <w:rPr>
          <w:rFonts w:ascii="Times New Roman" w:hAnsi="Times New Roman"/>
          <w:b/>
          <w:bCs/>
        </w:rPr>
      </w:pPr>
    </w:p>
    <w:p w:rsidR="00976351" w:rsidRDefault="00976351" w:rsidP="00976351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976351" w:rsidRDefault="00976351" w:rsidP="00976351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976351" w:rsidRDefault="00976351" w:rsidP="00976351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976351" w:rsidRDefault="00976351" w:rsidP="00976351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29 </w:t>
      </w:r>
      <w:proofErr w:type="gramStart"/>
      <w:r>
        <w:rPr>
          <w:sz w:val="28"/>
          <w:szCs w:val="28"/>
          <w:u w:val="single"/>
        </w:rPr>
        <w:t>июля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47</w:t>
      </w:r>
    </w:p>
    <w:p w:rsidR="00976351" w:rsidRDefault="00976351" w:rsidP="009763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976351" w:rsidRDefault="00976351" w:rsidP="00976351">
      <w:pPr>
        <w:jc w:val="both"/>
        <w:rPr>
          <w:rFonts w:ascii="Times New Roman" w:hAnsi="Times New Roman"/>
          <w:sz w:val="24"/>
          <w:szCs w:val="24"/>
        </w:rPr>
      </w:pP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главы сельского поселения «Иоссер»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26.09.2008. № 38 «Об оплате труда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работников муниципальных учреждений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культуры сельского поселения «Иоссер»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</w:p>
    <w:p w:rsidR="00976351" w:rsidRDefault="00976351" w:rsidP="00976351">
      <w:pPr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 постановлением Правительства Республики Коми от 28 июня 2013. № 233 «О внесении изменений в постановление Правительства Республики Коми от 11 сентября 2008. № 242 «Об оплате труда работников государственных учреждений культуры и искусства Республики Коми», </w:t>
      </w:r>
      <w:r>
        <w:rPr>
          <w:rFonts w:cs="Courier New"/>
        </w:rPr>
        <w:t>-</w:t>
      </w: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976351" w:rsidRDefault="00976351" w:rsidP="00976351">
      <w:pPr>
        <w:jc w:val="both"/>
        <w:rPr>
          <w:rFonts w:ascii="Times New Roman" w:hAnsi="Times New Roman"/>
          <w:b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Внести в постановление главы сельского поселения «Иоссер» от 26.09.2008. № 38 «Об оплате труда работников муниципальных учреждений культуры сельского поселения «Иоссер» (далее – постановление) следующие изменения:</w:t>
      </w:r>
    </w:p>
    <w:p w:rsidR="00976351" w:rsidRPr="00257787" w:rsidRDefault="00976351" w:rsidP="00976351">
      <w:pPr>
        <w:jc w:val="both"/>
        <w:rPr>
          <w:rFonts w:ascii="Times New Roman" w:hAnsi="Times New Roman"/>
          <w:b/>
          <w:i/>
        </w:rPr>
      </w:pPr>
      <w:r w:rsidRPr="00257787">
        <w:rPr>
          <w:rFonts w:ascii="Times New Roman" w:hAnsi="Times New Roman"/>
          <w:b/>
          <w:i/>
        </w:rPr>
        <w:t xml:space="preserve">            1.1. Пункт 3 изложить в следующей редакции:</w:t>
      </w: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«3. Установить, что:</w:t>
      </w: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1) должностной оклад руководителя муниципального учреждения культуры сельского поселения «Иоссер» устанавливается трудовым договором с руководителем муниципального учреждения культуры сельского поселения «Иоссер», заключаемым органом исполнительной власти сельского поселения «Иоссер», осуществляющим функции и полномочия учредителя соответствующего учреждения;</w:t>
      </w:r>
    </w:p>
    <w:p w:rsidR="00976351" w:rsidRDefault="00976351" w:rsidP="00976351">
      <w:pPr>
        <w:jc w:val="both"/>
        <w:rPr>
          <w:rFonts w:ascii="Times New Roman" w:hAnsi="Times New Roman"/>
          <w:b/>
          <w:i/>
        </w:rPr>
      </w:pPr>
      <w:r w:rsidRPr="00257787">
        <w:rPr>
          <w:rFonts w:ascii="Times New Roman" w:hAnsi="Times New Roman"/>
          <w:i/>
        </w:rPr>
        <w:t xml:space="preserve">            </w:t>
      </w:r>
      <w:r w:rsidRPr="00257787">
        <w:rPr>
          <w:rFonts w:ascii="Times New Roman" w:hAnsi="Times New Roman"/>
          <w:b/>
          <w:i/>
        </w:rPr>
        <w:t>1.2. В пункте 5:</w:t>
      </w: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  </w:t>
      </w:r>
      <w:r>
        <w:rPr>
          <w:rFonts w:ascii="Times New Roman" w:hAnsi="Times New Roman"/>
        </w:rPr>
        <w:t>1.2.1. В подпункте 2 слова «муниципальных услуг» заменить словами «муниципальных услуг;»;».</w:t>
      </w: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1.2.2. Дополнить подпунктом 3 следующего содержания:</w:t>
      </w: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«3) в целях достижения установленных индикативных значений показателей средней заработной платы работников, определённых указом Президента Российской Федерации от 7 мая 2012 года № 597 «О мероприятиях по реализации государственной социальной политики», от 1 июня 2012 года </w:t>
      </w:r>
      <w:r>
        <w:rPr>
          <w:rFonts w:ascii="Times New Roman" w:hAnsi="Times New Roman"/>
        </w:rPr>
        <w:lastRenderedPageBreak/>
        <w:t>№ 761 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при повышении в организации (филиале, структурном подразделении) тарифных ставок, окладов (должностных окладов) указанной категории работников учреждений, производить повышение среднего заработка во всех случаях, предусмотренных Трудовым Кодексом Российской Федерации.»;</w:t>
      </w:r>
    </w:p>
    <w:p w:rsidR="00976351" w:rsidRPr="00257787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  <w:i/>
        </w:rPr>
        <w:t xml:space="preserve">1.3. </w:t>
      </w:r>
      <w:r>
        <w:rPr>
          <w:rFonts w:ascii="Times New Roman" w:hAnsi="Times New Roman"/>
        </w:rPr>
        <w:t xml:space="preserve">Должностные оклады руководителей и специалистов муниципальных учреждений культуры сельского поселения «Иоссер», утвержденные постановлением (приложение № 1), изложить в редакции согласно приложению № 1 к настоящему постановлению;           </w:t>
      </w: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Настоящее постановление вступает в силу со дня его принятия и распространяется на правоотношения, возникшие с 1 июля 2013 года.</w:t>
      </w: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Е.В. Гусак</w:t>
      </w: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ind w:left="708"/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</w:p>
    <w:p w:rsidR="00976351" w:rsidRDefault="00976351" w:rsidP="00976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ind w:left="840"/>
        <w:jc w:val="both"/>
        <w:rPr>
          <w:rFonts w:ascii="Times New Roman" w:hAnsi="Times New Roman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rPr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ПРИЛОЖЕНИЕ № 1</w:t>
      </w:r>
    </w:p>
    <w:p w:rsidR="00976351" w:rsidRDefault="00976351" w:rsidP="00976351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976351" w:rsidRDefault="00976351" w:rsidP="00976351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«Иоссер»</w:t>
      </w:r>
    </w:p>
    <w:p w:rsidR="00976351" w:rsidRDefault="00976351" w:rsidP="00976351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29.07.2013.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47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« УТВЕРЖДЕНЫ</w:t>
      </w:r>
      <w:proofErr w:type="gramEnd"/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постановлением главы сельского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поселения «Иоссер»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от 26 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 38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(приложение № 1)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ДОЛЖНОСТНЫЕ ОКЛАДЫ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руководителей, специалистов и других служащих муниципальных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культурно-досуговых организаций, центров (домов народного творчества),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Дворцов и домов культуры, парков культуры и отдыха, центров досуга,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кинотеатров и других учреждений аналогичных организаций 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культурно-досугового типа сельского поселения «Иоссер»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 Должностные оклады руководителей 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сельского поселения «Иоссер», устанавливаемые в зависимости от группы по оплате труда руководителей, определяемой в соответствии с приложением № 6: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17"/>
        <w:gridCol w:w="4681"/>
        <w:gridCol w:w="975"/>
        <w:gridCol w:w="977"/>
        <w:gridCol w:w="1025"/>
        <w:gridCol w:w="1070"/>
      </w:tblGrid>
      <w:tr w:rsidR="00976351" w:rsidTr="00871351">
        <w:trPr>
          <w:trHeight w:val="2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 и требования к квалификации</w:t>
            </w: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Должностной оклад (рублей)</w:t>
            </w:r>
          </w:p>
        </w:tc>
      </w:tr>
      <w:tr w:rsidR="00976351" w:rsidTr="00871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1" w:rsidRDefault="00976351" w:rsidP="008713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1" w:rsidRDefault="00976351" w:rsidP="008713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по оплате труда руководителей</w:t>
            </w:r>
          </w:p>
        </w:tc>
      </w:tr>
      <w:tr w:rsidR="00976351" w:rsidTr="00871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1" w:rsidRDefault="00976351" w:rsidP="008713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1" w:rsidRDefault="00976351" w:rsidP="008713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976351" w:rsidTr="008713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76351" w:rsidTr="00871351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76351" w:rsidTr="008713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(</w:t>
            </w:r>
            <w:proofErr w:type="gramStart"/>
            <w:r>
              <w:rPr>
                <w:rFonts w:ascii="Times New Roman" w:hAnsi="Times New Roman"/>
              </w:rPr>
              <w:t>заведующий)  дома</w:t>
            </w:r>
            <w:proofErr w:type="gramEnd"/>
            <w:r>
              <w:rPr>
                <w:rFonts w:ascii="Times New Roman" w:hAnsi="Times New Roman"/>
              </w:rPr>
              <w:t xml:space="preserve"> (дворца) культуры, клуба, централизованной (</w:t>
            </w:r>
            <w:proofErr w:type="spellStart"/>
            <w:r>
              <w:rPr>
                <w:rFonts w:ascii="Times New Roman" w:hAnsi="Times New Roman"/>
              </w:rPr>
              <w:t>межпоселенческой</w:t>
            </w:r>
            <w:proofErr w:type="spellEnd"/>
            <w:r>
              <w:rPr>
                <w:rFonts w:ascii="Times New Roman" w:hAnsi="Times New Roman"/>
              </w:rPr>
              <w:t>) клубной системы, парка культуры и отдыха, городского сада и других аналогичных культурно-досуговых организаций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8125</w:t>
            </w:r>
          </w:p>
        </w:tc>
      </w:tr>
    </w:tbl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</w:rPr>
      </w:pPr>
    </w:p>
    <w:p w:rsidR="00976351" w:rsidRDefault="00976351" w:rsidP="00976351">
      <w:pPr>
        <w:tabs>
          <w:tab w:val="left" w:pos="6120"/>
        </w:tabs>
      </w:pPr>
      <w:r>
        <w:t xml:space="preserve">              </w:t>
      </w:r>
    </w:p>
    <w:p w:rsidR="00976351" w:rsidRDefault="00976351" w:rsidP="00976351">
      <w:pPr>
        <w:tabs>
          <w:tab w:val="left" w:pos="61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2. Должностные оклады руководителей, специалистов и других служащих 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сельского поселения «Иоссер» по профессиональным квалификационным группам: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Профессиональная квалификационная группа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«Должности работников культуры, искусства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кинематографии среднего звена»</w:t>
      </w:r>
    </w:p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723"/>
        <w:gridCol w:w="6380"/>
        <w:gridCol w:w="2242"/>
      </w:tblGrid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 и требования</w:t>
            </w:r>
          </w:p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квалификации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Должностной оклад (рублей)</w:t>
            </w:r>
          </w:p>
        </w:tc>
      </w:tr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76351" w:rsidTr="00871351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</w:p>
        </w:tc>
      </w:tr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первой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6160</w:t>
            </w:r>
          </w:p>
        </w:tc>
      </w:tr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второй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5580</w:t>
            </w:r>
          </w:p>
        </w:tc>
      </w:tr>
      <w:tr w:rsidR="00976351" w:rsidTr="0087135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без категории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871351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5395</w:t>
            </w:r>
          </w:p>
        </w:tc>
      </w:tr>
    </w:tbl>
    <w:p w:rsidR="00976351" w:rsidRDefault="00976351" w:rsidP="00976351">
      <w:pPr>
        <w:tabs>
          <w:tab w:val="left" w:pos="61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6351" w:rsidRDefault="00976351" w:rsidP="00976351">
      <w:pPr>
        <w:tabs>
          <w:tab w:val="left" w:pos="6120"/>
        </w:tabs>
        <w:jc w:val="center"/>
        <w:rPr>
          <w:b/>
          <w:sz w:val="24"/>
          <w:szCs w:val="24"/>
        </w:rPr>
      </w:pPr>
    </w:p>
    <w:p w:rsidR="00976351" w:rsidRDefault="00976351" w:rsidP="00976351">
      <w:pPr>
        <w:tabs>
          <w:tab w:val="left" w:pos="4080"/>
        </w:tabs>
        <w:rPr>
          <w:rFonts w:ascii="Times New Roman" w:hAnsi="Times New Roman"/>
        </w:rPr>
      </w:pPr>
    </w:p>
    <w:p w:rsidR="00976351" w:rsidRDefault="00976351" w:rsidP="00976351">
      <w:pPr>
        <w:tabs>
          <w:tab w:val="left" w:pos="40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976351" w:rsidRDefault="00976351" w:rsidP="00976351">
      <w:pPr>
        <w:tabs>
          <w:tab w:val="left" w:pos="4080"/>
        </w:tabs>
        <w:jc w:val="center"/>
        <w:rPr>
          <w:rFonts w:ascii="Times New Roman" w:hAnsi="Times New Roman"/>
        </w:rPr>
      </w:pPr>
    </w:p>
    <w:p w:rsidR="009479A0" w:rsidRDefault="009479A0"/>
    <w:sectPr w:rsidR="0094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51"/>
    <w:rsid w:val="009479A0"/>
    <w:rsid w:val="00976351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2DB4-E9AD-4A17-8B91-8163F706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51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6351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5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97635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976351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9763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976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2019-08-01T11:08:00Z</dcterms:created>
  <dcterms:modified xsi:type="dcterms:W3CDTF">2019-08-01T11:08:00Z</dcterms:modified>
</cp:coreProperties>
</file>