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85" w:rsidRPr="007A1685" w:rsidRDefault="007A1685" w:rsidP="007A1685">
      <w:pPr>
        <w:spacing w:before="432"/>
        <w:ind w:right="72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0" w:name="_GoBack"/>
      <w:bookmarkEnd w:id="0"/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>Служб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 xml:space="preserve"> Республики Коми по тарифам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письмом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 xml:space="preserve"> от 22.04.2015г.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№ 03-14/1444 извещает о </w:t>
      </w:r>
      <w:r w:rsidRPr="007A1685">
        <w:rPr>
          <w:rFonts w:ascii="Times New Roman" w:eastAsiaTheme="minorHAnsi" w:hAnsi="Times New Roman"/>
          <w:spacing w:val="9"/>
          <w:sz w:val="26"/>
          <w:szCs w:val="26"/>
          <w:lang w:eastAsia="en-US"/>
        </w:rPr>
        <w:t>перечн</w:t>
      </w:r>
      <w:r>
        <w:rPr>
          <w:rFonts w:ascii="Times New Roman" w:eastAsiaTheme="minorHAnsi" w:hAnsi="Times New Roman"/>
          <w:spacing w:val="9"/>
          <w:sz w:val="26"/>
          <w:szCs w:val="26"/>
          <w:lang w:eastAsia="en-US"/>
        </w:rPr>
        <w:t>е</w:t>
      </w:r>
      <w:r w:rsidRPr="007A1685">
        <w:rPr>
          <w:rFonts w:ascii="Times New Roman" w:eastAsiaTheme="minorHAnsi" w:hAnsi="Times New Roman"/>
          <w:spacing w:val="9"/>
          <w:sz w:val="26"/>
          <w:szCs w:val="26"/>
          <w:lang w:eastAsia="en-US"/>
        </w:rPr>
        <w:t xml:space="preserve"> документов, необходимы</w:t>
      </w:r>
      <w:r>
        <w:rPr>
          <w:rFonts w:ascii="Times New Roman" w:eastAsiaTheme="minorHAnsi" w:hAnsi="Times New Roman"/>
          <w:spacing w:val="9"/>
          <w:sz w:val="26"/>
          <w:szCs w:val="26"/>
          <w:lang w:eastAsia="en-US"/>
        </w:rPr>
        <w:t>х</w:t>
      </w:r>
      <w:r w:rsidRPr="007A1685">
        <w:rPr>
          <w:rFonts w:ascii="Times New Roman" w:eastAsiaTheme="minorHAnsi" w:hAnsi="Times New Roman"/>
          <w:spacing w:val="9"/>
          <w:sz w:val="26"/>
          <w:szCs w:val="26"/>
          <w:lang w:eastAsia="en-US"/>
        </w:rPr>
        <w:t xml:space="preserve"> для представления поставщиками 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>топлива твёрдого в Службу для расчёта экономически обоснованной цены на топливо твёрдое (далее цена на топливо твёрдое):</w:t>
      </w:r>
    </w:p>
    <w:p w:rsidR="007A1685" w:rsidRPr="007A1685" w:rsidRDefault="007A1685" w:rsidP="007A1685">
      <w:pPr>
        <w:widowControl w:val="0"/>
        <w:numPr>
          <w:ilvl w:val="0"/>
          <w:numId w:val="9"/>
        </w:numPr>
        <w:tabs>
          <w:tab w:val="clear" w:pos="360"/>
          <w:tab w:val="num" w:pos="1152"/>
        </w:tabs>
        <w:autoSpaceDE w:val="0"/>
        <w:autoSpaceDN w:val="0"/>
        <w:spacing w:before="36"/>
        <w:ind w:right="7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A1685">
        <w:rPr>
          <w:rFonts w:ascii="Times New Roman" w:eastAsiaTheme="minorHAnsi" w:hAnsi="Times New Roman"/>
          <w:spacing w:val="-1"/>
          <w:sz w:val="26"/>
          <w:szCs w:val="26"/>
          <w:lang w:eastAsia="en-US"/>
        </w:rPr>
        <w:t xml:space="preserve">заявление об установлении (пересмотре) цены на топливо твёрдое (в произвольной 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 xml:space="preserve">форме), содержащее: общие сведения о поставщике топлива твёрдого (его наименование и реквизиты, юридический и почтовый адрес, адрес электронной почты, контактные телефоны и факс, фамилия, имя, отчество руководителя); опись представленных документов; сведения о </w:t>
      </w:r>
      <w:r w:rsidRPr="007A1685">
        <w:rPr>
          <w:rFonts w:ascii="Times New Roman" w:eastAsiaTheme="minorHAnsi" w:hAnsi="Times New Roman"/>
          <w:spacing w:val="22"/>
          <w:sz w:val="26"/>
          <w:szCs w:val="26"/>
          <w:lang w:eastAsia="en-US"/>
        </w:rPr>
        <w:t xml:space="preserve">муниципальном районе (городском округе) на территории которого граждане будут </w:t>
      </w:r>
      <w:r w:rsidRPr="007A1685">
        <w:rPr>
          <w:rFonts w:ascii="Times New Roman" w:eastAsiaTheme="minorHAnsi" w:hAnsi="Times New Roman"/>
          <w:spacing w:val="-1"/>
          <w:sz w:val="26"/>
          <w:szCs w:val="26"/>
          <w:lang w:eastAsia="en-US"/>
        </w:rPr>
        <w:t xml:space="preserve">обеспечиваться топливом твёрдым; сведения о цене, по которой топливо твёрдое планируется к </w:t>
      </w:r>
      <w:r w:rsidRPr="007A1685">
        <w:rPr>
          <w:rFonts w:ascii="Times New Roman" w:eastAsiaTheme="minorHAnsi" w:hAnsi="Times New Roman"/>
          <w:spacing w:val="-3"/>
          <w:sz w:val="26"/>
          <w:szCs w:val="26"/>
          <w:lang w:eastAsia="en-US"/>
        </w:rPr>
        <w:t xml:space="preserve">реализации населению, с учётом и (или) без учёта доставки; сведения о видах топлива твёрдого, </w:t>
      </w:r>
      <w:r w:rsidRPr="007A1685">
        <w:rPr>
          <w:rFonts w:ascii="Times New Roman" w:eastAsiaTheme="minorHAnsi" w:hAnsi="Times New Roman"/>
          <w:spacing w:val="4"/>
          <w:sz w:val="26"/>
          <w:szCs w:val="26"/>
          <w:lang w:eastAsia="en-US"/>
        </w:rPr>
        <w:t xml:space="preserve">планируемого для реализации населению; сведения о планируемом объёме топлива твёрдого 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>для реализации населению;</w:t>
      </w:r>
    </w:p>
    <w:p w:rsidR="007A1685" w:rsidRPr="007A1685" w:rsidRDefault="007A1685" w:rsidP="007A1685">
      <w:pPr>
        <w:widowControl w:val="0"/>
        <w:numPr>
          <w:ilvl w:val="0"/>
          <w:numId w:val="9"/>
        </w:numPr>
        <w:tabs>
          <w:tab w:val="clear" w:pos="360"/>
          <w:tab w:val="num" w:pos="1152"/>
        </w:tabs>
        <w:autoSpaceDE w:val="0"/>
        <w:autoSpaceDN w:val="0"/>
        <w:spacing w:before="216"/>
        <w:ind w:right="7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 xml:space="preserve">копии учредительных документов (свидетельство о государственной регистрации </w:t>
      </w:r>
      <w:r w:rsidRPr="007A1685">
        <w:rPr>
          <w:rFonts w:ascii="Times New Roman" w:eastAsiaTheme="minorHAnsi" w:hAnsi="Times New Roman"/>
          <w:spacing w:val="19"/>
          <w:sz w:val="26"/>
          <w:szCs w:val="26"/>
          <w:lang w:eastAsia="en-US"/>
        </w:rPr>
        <w:t>выписка из Единого государственного реестра юридических лиц (индивидуальн</w:t>
      </w:r>
      <w:r>
        <w:rPr>
          <w:rFonts w:ascii="Times New Roman" w:eastAsiaTheme="minorHAnsi" w:hAnsi="Times New Roman"/>
          <w:spacing w:val="19"/>
          <w:sz w:val="26"/>
          <w:szCs w:val="26"/>
          <w:lang w:eastAsia="en-US"/>
        </w:rPr>
        <w:t>ы</w:t>
      </w:r>
      <w:r w:rsidRPr="007A1685">
        <w:rPr>
          <w:rFonts w:ascii="Times New Roman" w:eastAsiaTheme="minorHAnsi" w:hAnsi="Times New Roman"/>
          <w:spacing w:val="19"/>
          <w:sz w:val="26"/>
          <w:szCs w:val="26"/>
          <w:lang w:eastAsia="en-US"/>
        </w:rPr>
        <w:t xml:space="preserve">х 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>предпринимателей), сформированная не ранее чем за три месяца до дня подачи заявления, уведомление о постановке на учёт в налоговом органе, уведомление о возможности применения упрощённой системы налогообложения;</w:t>
      </w:r>
    </w:p>
    <w:p w:rsidR="007A1685" w:rsidRPr="007A1685" w:rsidRDefault="007A1685" w:rsidP="007A1685">
      <w:pPr>
        <w:widowControl w:val="0"/>
        <w:numPr>
          <w:ilvl w:val="0"/>
          <w:numId w:val="9"/>
        </w:numPr>
        <w:tabs>
          <w:tab w:val="clear" w:pos="360"/>
          <w:tab w:val="num" w:pos="1152"/>
        </w:tabs>
        <w:autoSpaceDE w:val="0"/>
        <w:autoSpaceDN w:val="0"/>
        <w:spacing w:before="72"/>
        <w:ind w:right="7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 xml:space="preserve">справка об исполнении хозяйствующим субъектом обязанности по уплате налогов, </w:t>
      </w:r>
      <w:r w:rsidRPr="007A1685">
        <w:rPr>
          <w:rFonts w:ascii="Times New Roman" w:eastAsiaTheme="minorHAnsi" w:hAnsi="Times New Roman"/>
          <w:spacing w:val="7"/>
          <w:sz w:val="26"/>
          <w:szCs w:val="26"/>
          <w:lang w:eastAsia="en-US"/>
        </w:rPr>
        <w:t xml:space="preserve">сборов, страховых взносов, пеней и налоговых санкций по форме, утвержденной приказом </w:t>
      </w:r>
      <w:r w:rsidRPr="007A1685">
        <w:rPr>
          <w:rFonts w:ascii="Times New Roman" w:eastAsiaTheme="minorHAnsi" w:hAnsi="Times New Roman"/>
          <w:spacing w:val="11"/>
          <w:sz w:val="26"/>
          <w:szCs w:val="26"/>
          <w:lang w:eastAsia="en-US"/>
        </w:rPr>
        <w:t xml:space="preserve">ФНС Российской Федерации от 21 июля 2014 года </w:t>
      </w:r>
      <w:r w:rsidR="00C24CDA">
        <w:rPr>
          <w:rFonts w:ascii="Times New Roman" w:eastAsiaTheme="minorHAnsi" w:hAnsi="Times New Roman"/>
          <w:spacing w:val="11"/>
          <w:sz w:val="26"/>
          <w:szCs w:val="26"/>
          <w:lang w:eastAsia="en-US"/>
        </w:rPr>
        <w:t>№</w:t>
      </w:r>
      <w:r w:rsidRPr="007A1685">
        <w:rPr>
          <w:rFonts w:ascii="Times New Roman" w:eastAsiaTheme="minorHAnsi" w:hAnsi="Times New Roman"/>
          <w:spacing w:val="11"/>
          <w:sz w:val="26"/>
          <w:szCs w:val="26"/>
          <w:lang w:eastAsia="en-US"/>
        </w:rPr>
        <w:t xml:space="preserve">ММВ-7-8/378@, сформированная не 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>ранее чем за месяц до дня представления заявления;</w:t>
      </w:r>
    </w:p>
    <w:p w:rsidR="007A1685" w:rsidRPr="007A1685" w:rsidRDefault="007A1685" w:rsidP="007A1685">
      <w:pPr>
        <w:widowControl w:val="0"/>
        <w:numPr>
          <w:ilvl w:val="0"/>
          <w:numId w:val="10"/>
        </w:numPr>
        <w:tabs>
          <w:tab w:val="clear" w:pos="432"/>
          <w:tab w:val="num" w:pos="1224"/>
        </w:tabs>
        <w:autoSpaceDE w:val="0"/>
        <w:autoSpaceDN w:val="0"/>
        <w:spacing w:before="108"/>
        <w:ind w:right="7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 xml:space="preserve">справка регионального отделения Фонда социального страхования Российской </w:t>
      </w:r>
      <w:r w:rsidRPr="007A1685">
        <w:rPr>
          <w:rFonts w:ascii="Times New Roman" w:eastAsiaTheme="minorHAnsi" w:hAnsi="Times New Roman"/>
          <w:spacing w:val="19"/>
          <w:sz w:val="26"/>
          <w:szCs w:val="26"/>
          <w:lang w:eastAsia="en-US"/>
        </w:rPr>
        <w:t xml:space="preserve">Федерации по Республике Коми или его территориальных органов об исполнении </w:t>
      </w:r>
      <w:r w:rsidRPr="007A1685">
        <w:rPr>
          <w:rFonts w:ascii="Times New Roman" w:eastAsiaTheme="minorHAnsi" w:hAnsi="Times New Roman"/>
          <w:spacing w:val="12"/>
          <w:sz w:val="26"/>
          <w:szCs w:val="26"/>
          <w:lang w:eastAsia="en-US"/>
        </w:rPr>
        <w:t xml:space="preserve">хозяйствующим субъектом обязательств по уплате страховых взносов на обязательное 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 xml:space="preserve">социальное страхование на случай временной нетрудоспособности и </w:t>
      </w:r>
      <w:r w:rsidR="00C24CDA">
        <w:rPr>
          <w:rFonts w:ascii="Times New Roman" w:eastAsiaTheme="minorHAnsi" w:hAnsi="Times New Roman"/>
          <w:sz w:val="26"/>
          <w:szCs w:val="26"/>
          <w:lang w:eastAsia="en-US"/>
        </w:rPr>
        <w:t>в связи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 xml:space="preserve"> с материнством, сформированная не ранее чем за месяц до дня подачи заявления;</w:t>
      </w:r>
    </w:p>
    <w:p w:rsidR="007A1685" w:rsidRPr="007A1685" w:rsidRDefault="007A1685" w:rsidP="007A1685">
      <w:pPr>
        <w:widowControl w:val="0"/>
        <w:numPr>
          <w:ilvl w:val="0"/>
          <w:numId w:val="9"/>
        </w:numPr>
        <w:tabs>
          <w:tab w:val="clear" w:pos="360"/>
          <w:tab w:val="num" w:pos="1152"/>
        </w:tabs>
        <w:autoSpaceDE w:val="0"/>
        <w:autoSpaceDN w:val="0"/>
        <w:spacing w:before="72"/>
        <w:ind w:right="7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A1685">
        <w:rPr>
          <w:rFonts w:ascii="Times New Roman" w:eastAsiaTheme="minorHAnsi" w:hAnsi="Times New Roman"/>
          <w:spacing w:val="-1"/>
          <w:sz w:val="26"/>
          <w:szCs w:val="26"/>
          <w:lang w:eastAsia="en-US"/>
        </w:rPr>
        <w:t xml:space="preserve">справка Отделения Пенсионного фонда Российской Федерации по Республике Коми 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 xml:space="preserve">или его территориальных органов об исполнении хозяйствующим субъектом обязательств по </w:t>
      </w:r>
      <w:r w:rsidRPr="007A1685">
        <w:rPr>
          <w:rFonts w:ascii="Times New Roman" w:eastAsiaTheme="minorHAnsi" w:hAnsi="Times New Roman"/>
          <w:spacing w:val="14"/>
          <w:sz w:val="26"/>
          <w:szCs w:val="26"/>
          <w:lang w:eastAsia="en-US"/>
        </w:rPr>
        <w:t xml:space="preserve">уплате страховых взносов на обязательное пенсионное страхование и обязательное 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>медицинское страхование, сформированная не ранее чем за месяц до дня подачи заявления;</w:t>
      </w:r>
    </w:p>
    <w:p w:rsidR="007A1685" w:rsidRPr="007A1685" w:rsidRDefault="007A1685" w:rsidP="007A1685">
      <w:pPr>
        <w:widowControl w:val="0"/>
        <w:numPr>
          <w:ilvl w:val="0"/>
          <w:numId w:val="11"/>
        </w:numPr>
        <w:tabs>
          <w:tab w:val="clear" w:pos="504"/>
          <w:tab w:val="num" w:pos="1296"/>
        </w:tabs>
        <w:autoSpaceDE w:val="0"/>
        <w:autoSpaceDN w:val="0"/>
        <w:spacing w:before="72"/>
        <w:ind w:right="7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A1685">
        <w:rPr>
          <w:rFonts w:ascii="Times New Roman" w:eastAsiaTheme="minorHAnsi" w:hAnsi="Times New Roman"/>
          <w:spacing w:val="14"/>
          <w:sz w:val="26"/>
          <w:szCs w:val="26"/>
          <w:lang w:eastAsia="en-US"/>
        </w:rPr>
        <w:t xml:space="preserve">заверенная </w:t>
      </w:r>
      <w:r w:rsidR="00C24CDA" w:rsidRPr="007A1685">
        <w:rPr>
          <w:rFonts w:ascii="Times New Roman" w:eastAsiaTheme="minorHAnsi" w:hAnsi="Times New Roman"/>
          <w:spacing w:val="14"/>
          <w:sz w:val="26"/>
          <w:szCs w:val="26"/>
          <w:lang w:eastAsia="en-US"/>
        </w:rPr>
        <w:t>хозяйствующим</w:t>
      </w:r>
      <w:r w:rsidRPr="007A1685">
        <w:rPr>
          <w:rFonts w:ascii="Times New Roman" w:eastAsiaTheme="minorHAnsi" w:hAnsi="Times New Roman"/>
          <w:spacing w:val="14"/>
          <w:sz w:val="26"/>
          <w:szCs w:val="26"/>
          <w:lang w:eastAsia="en-US"/>
        </w:rPr>
        <w:t xml:space="preserve"> субъектом копия бухгалтерской отчётности за </w:t>
      </w:r>
      <w:r w:rsidRPr="007A1685">
        <w:rPr>
          <w:rFonts w:ascii="Times New Roman" w:eastAsiaTheme="minorHAnsi" w:hAnsi="Times New Roman"/>
          <w:spacing w:val="9"/>
          <w:sz w:val="26"/>
          <w:szCs w:val="26"/>
          <w:lang w:eastAsia="en-US"/>
        </w:rPr>
        <w:t xml:space="preserve">прошедший полный отчётный год и последний отчётный период текущего года по формам 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 xml:space="preserve">отчётности, утвержденным Министерством финансов </w:t>
      </w:r>
      <w:proofErr w:type="gramStart"/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="00C24CDA">
        <w:rPr>
          <w:rFonts w:ascii="Times New Roman" w:eastAsiaTheme="minorHAnsi" w:hAnsi="Times New Roman"/>
          <w:sz w:val="26"/>
          <w:szCs w:val="26"/>
          <w:lang w:eastAsia="en-US"/>
        </w:rPr>
        <w:t xml:space="preserve">оссийской 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Федерации</w:t>
      </w:r>
      <w:proofErr w:type="gramEnd"/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 xml:space="preserve">, для годовой и </w:t>
      </w:r>
      <w:r w:rsidRPr="007A1685">
        <w:rPr>
          <w:rFonts w:ascii="Times New Roman" w:eastAsiaTheme="minorHAnsi" w:hAnsi="Times New Roman"/>
          <w:spacing w:val="6"/>
          <w:sz w:val="26"/>
          <w:szCs w:val="26"/>
          <w:lang w:eastAsia="en-US"/>
        </w:rPr>
        <w:t xml:space="preserve">промежуточной бухгалтерской отчётности, а также с отметками (подтверждением) налоговых 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>органов о принятии данной отчётности;</w:t>
      </w:r>
    </w:p>
    <w:p w:rsidR="007A1685" w:rsidRPr="007A1685" w:rsidRDefault="007A1685" w:rsidP="00C24CDA">
      <w:pPr>
        <w:widowControl w:val="0"/>
        <w:numPr>
          <w:ilvl w:val="0"/>
          <w:numId w:val="12"/>
        </w:numPr>
        <w:tabs>
          <w:tab w:val="clear" w:pos="288"/>
          <w:tab w:val="num" w:pos="1080"/>
        </w:tabs>
        <w:autoSpaceDE w:val="0"/>
        <w:autoSpaceDN w:val="0"/>
        <w:spacing w:before="108" w:line="264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>документ, подтверждающий полномочия лица на подписание заявления,</w:t>
      </w:r>
    </w:p>
    <w:p w:rsidR="007A1685" w:rsidRPr="007A1685" w:rsidRDefault="007A1685" w:rsidP="00C24CDA">
      <w:pPr>
        <w:widowControl w:val="0"/>
        <w:numPr>
          <w:ilvl w:val="0"/>
          <w:numId w:val="11"/>
        </w:numPr>
        <w:tabs>
          <w:tab w:val="clear" w:pos="504"/>
          <w:tab w:val="num" w:pos="1296"/>
        </w:tabs>
        <w:autoSpaceDE w:val="0"/>
        <w:autoSpaceDN w:val="0"/>
        <w:ind w:right="7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>заверенные хозяйствующим субъектом копии документов, подтверждающие информацию, содержащуюся в заявлении, с предъявлением оригиналов;</w:t>
      </w:r>
    </w:p>
    <w:p w:rsidR="007A1685" w:rsidRPr="007A1685" w:rsidRDefault="007A1685" w:rsidP="00C24CDA">
      <w:pPr>
        <w:widowControl w:val="0"/>
        <w:numPr>
          <w:ilvl w:val="0"/>
          <w:numId w:val="10"/>
        </w:numPr>
        <w:tabs>
          <w:tab w:val="clear" w:pos="432"/>
          <w:tab w:val="num" w:pos="1224"/>
        </w:tabs>
        <w:autoSpaceDE w:val="0"/>
        <w:autoSpaceDN w:val="0"/>
        <w:spacing w:before="36"/>
        <w:ind w:right="7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>документы, подтверждающие эксплуатацию объектов лесного хозяйства на правах собственности или иных законных основаниях (при установлении цен на дрова);</w:t>
      </w:r>
    </w:p>
    <w:p w:rsidR="007A1685" w:rsidRPr="007A1685" w:rsidRDefault="007A1685" w:rsidP="007A1685">
      <w:pPr>
        <w:widowControl w:val="0"/>
        <w:numPr>
          <w:ilvl w:val="0"/>
          <w:numId w:val="13"/>
        </w:numPr>
        <w:tabs>
          <w:tab w:val="clear" w:pos="576"/>
          <w:tab w:val="num" w:pos="1368"/>
        </w:tabs>
        <w:autoSpaceDE w:val="0"/>
        <w:autoSpaceDN w:val="0"/>
        <w:spacing w:before="36"/>
        <w:ind w:right="7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>расчётные материалы, включающие фактические затраты за предыдущий период (при наличии) и планируемые затраты (пояснения к представленн</w:t>
      </w:r>
      <w:r w:rsidR="00C24CDA">
        <w:rPr>
          <w:rFonts w:ascii="Times New Roman" w:eastAsiaTheme="minorHAnsi" w:hAnsi="Times New Roman"/>
          <w:sz w:val="26"/>
          <w:szCs w:val="26"/>
          <w:lang w:eastAsia="en-US"/>
        </w:rPr>
        <w:t>ым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 xml:space="preserve"> расчётам (применяемые </w:t>
      </w:r>
      <w:r w:rsidRPr="007A1685">
        <w:rPr>
          <w:rFonts w:ascii="Times New Roman" w:eastAsiaTheme="minorHAnsi" w:hAnsi="Times New Roman"/>
          <w:spacing w:val="14"/>
          <w:sz w:val="26"/>
          <w:szCs w:val="26"/>
          <w:lang w:eastAsia="en-US"/>
        </w:rPr>
        <w:t xml:space="preserve">нормы, нормативы, используемые в расчётах, в том числе по налогам, с приложением 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>подтверждающих документов (счета-фактуры, договора).</w:t>
      </w:r>
    </w:p>
    <w:p w:rsidR="007A1685" w:rsidRPr="007A1685" w:rsidRDefault="007A1685" w:rsidP="007A1685">
      <w:pPr>
        <w:widowControl w:val="0"/>
        <w:numPr>
          <w:ilvl w:val="0"/>
          <w:numId w:val="13"/>
        </w:numPr>
        <w:tabs>
          <w:tab w:val="clear" w:pos="576"/>
          <w:tab w:val="num" w:pos="1368"/>
        </w:tabs>
        <w:autoSpaceDE w:val="0"/>
        <w:autoSpaceDN w:val="0"/>
        <w:spacing w:before="108"/>
        <w:ind w:right="72"/>
        <w:rPr>
          <w:rFonts w:ascii="Times New Roman" w:eastAsiaTheme="minorHAnsi" w:hAnsi="Times New Roman"/>
          <w:sz w:val="26"/>
          <w:szCs w:val="26"/>
          <w:lang w:eastAsia="en-US"/>
        </w:rPr>
      </w:pPr>
      <w:r w:rsidRPr="007A1685">
        <w:rPr>
          <w:rFonts w:ascii="Times New Roman" w:eastAsiaTheme="minorHAnsi" w:hAnsi="Times New Roman"/>
          <w:spacing w:val="13"/>
          <w:sz w:val="26"/>
          <w:szCs w:val="26"/>
          <w:lang w:eastAsia="en-US"/>
        </w:rPr>
        <w:t xml:space="preserve">сведения о численности и заработной плате, расчёт фонда оплаты труда </w:t>
      </w:r>
      <w:r w:rsidR="00C24CDA">
        <w:rPr>
          <w:rFonts w:ascii="Times New Roman" w:eastAsiaTheme="minorHAnsi" w:hAnsi="Times New Roman"/>
          <w:sz w:val="26"/>
          <w:szCs w:val="26"/>
          <w:lang w:eastAsia="en-US"/>
        </w:rPr>
        <w:t>(п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>оложение об оплате труда, штатное расписание, копии трудовых договоров);</w:t>
      </w:r>
    </w:p>
    <w:p w:rsidR="007A1685" w:rsidRPr="007A1685" w:rsidRDefault="007A1685" w:rsidP="00C24CDA">
      <w:pPr>
        <w:widowControl w:val="0"/>
        <w:numPr>
          <w:ilvl w:val="0"/>
          <w:numId w:val="13"/>
        </w:numPr>
        <w:tabs>
          <w:tab w:val="clear" w:pos="576"/>
          <w:tab w:val="num" w:pos="1368"/>
        </w:tabs>
        <w:autoSpaceDE w:val="0"/>
        <w:autoSpaceDN w:val="0"/>
        <w:spacing w:before="36"/>
        <w:ind w:right="7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A1685">
        <w:rPr>
          <w:rFonts w:ascii="Times New Roman" w:eastAsiaTheme="minorHAnsi" w:hAnsi="Times New Roman"/>
          <w:spacing w:val="9"/>
          <w:sz w:val="26"/>
          <w:szCs w:val="26"/>
          <w:lang w:eastAsia="en-US"/>
        </w:rPr>
        <w:lastRenderedPageBreak/>
        <w:t xml:space="preserve">договор на поставку твёрдого топлива, подтверждающие цену приобретения 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>твёрдого топлива, с подробной расшифровкой цены, указанной в договоре.</w:t>
      </w:r>
    </w:p>
    <w:p w:rsidR="004F787F" w:rsidRPr="007A1685" w:rsidRDefault="007A1685" w:rsidP="007A1685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Указанный перечень документов, не является исчерпывающим. Служба оставляет за </w:t>
      </w:r>
      <w:r w:rsidRPr="007A1685">
        <w:rPr>
          <w:rFonts w:ascii="Times New Roman" w:eastAsiaTheme="minorHAnsi" w:hAnsi="Times New Roman"/>
          <w:spacing w:val="8"/>
          <w:sz w:val="26"/>
          <w:szCs w:val="26"/>
          <w:lang w:eastAsia="en-US"/>
        </w:rPr>
        <w:t xml:space="preserve">собой право при необходимости запрашивать дополнительные документы, относящиеся к </w:t>
      </w:r>
      <w:r w:rsidRPr="007A1685">
        <w:rPr>
          <w:rFonts w:ascii="Times New Roman" w:eastAsiaTheme="minorHAnsi" w:hAnsi="Times New Roman"/>
          <w:sz w:val="26"/>
          <w:szCs w:val="26"/>
          <w:lang w:eastAsia="en-US"/>
        </w:rPr>
        <w:t>расчёту экономически обоснованной цены на топливо твёрдое.</w:t>
      </w:r>
    </w:p>
    <w:p w:rsidR="004F787F" w:rsidRPr="007A1685" w:rsidRDefault="004F787F" w:rsidP="00B74BD9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45F7C" w:rsidRPr="00331368" w:rsidRDefault="00F45F7C" w:rsidP="00486180">
      <w:pPr>
        <w:jc w:val="both"/>
        <w:rPr>
          <w:rFonts w:ascii="Times New Roman" w:hAnsi="Times New Roman"/>
          <w:sz w:val="26"/>
          <w:szCs w:val="26"/>
        </w:rPr>
      </w:pPr>
    </w:p>
    <w:sectPr w:rsidR="00F45F7C" w:rsidRPr="00331368" w:rsidSect="007079A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D267"/>
    <w:multiLevelType w:val="singleLevel"/>
    <w:tmpl w:val="343465AC"/>
    <w:lvl w:ilvl="0">
      <w:start w:val="1"/>
      <w:numFmt w:val="decimal"/>
      <w:lvlText w:val="%1)"/>
      <w:lvlJc w:val="left"/>
      <w:pPr>
        <w:tabs>
          <w:tab w:val="num" w:pos="360"/>
        </w:tabs>
        <w:ind w:firstLine="792"/>
      </w:pPr>
      <w:rPr>
        <w:rFonts w:ascii="Arial" w:hAnsi="Arial" w:cs="Arial"/>
        <w:snapToGrid/>
        <w:spacing w:val="-1"/>
        <w:sz w:val="22"/>
        <w:szCs w:val="22"/>
      </w:rPr>
    </w:lvl>
  </w:abstractNum>
  <w:abstractNum w:abstractNumId="1">
    <w:nsid w:val="01E9B443"/>
    <w:multiLevelType w:val="singleLevel"/>
    <w:tmpl w:val="078D1446"/>
    <w:lvl w:ilvl="0">
      <w:numFmt w:val="bullet"/>
      <w:lvlText w:val="-"/>
      <w:lvlJc w:val="left"/>
      <w:pPr>
        <w:tabs>
          <w:tab w:val="num" w:pos="144"/>
        </w:tabs>
        <w:ind w:left="576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03E20C05"/>
    <w:multiLevelType w:val="singleLevel"/>
    <w:tmpl w:val="14041588"/>
    <w:lvl w:ilvl="0">
      <w:numFmt w:val="bullet"/>
      <w:lvlText w:val="В"/>
      <w:lvlJc w:val="left"/>
      <w:pPr>
        <w:tabs>
          <w:tab w:val="num" w:pos="360"/>
        </w:tabs>
        <w:ind w:firstLine="648"/>
      </w:pPr>
      <w:rPr>
        <w:rFonts w:ascii="Arial" w:hAnsi="Arial" w:cs="Arial"/>
        <w:snapToGrid/>
        <w:sz w:val="24"/>
        <w:szCs w:val="24"/>
      </w:rPr>
    </w:lvl>
  </w:abstractNum>
  <w:abstractNum w:abstractNumId="3">
    <w:nsid w:val="077775DA"/>
    <w:multiLevelType w:val="singleLevel"/>
    <w:tmpl w:val="07C6AC77"/>
    <w:lvl w:ilvl="0">
      <w:numFmt w:val="bullet"/>
      <w:lvlText w:val="и"/>
      <w:lvlJc w:val="left"/>
      <w:pPr>
        <w:tabs>
          <w:tab w:val="num" w:pos="216"/>
        </w:tabs>
      </w:pPr>
      <w:rPr>
        <w:rFonts w:ascii="Arial" w:hAnsi="Arial" w:cs="Arial"/>
        <w:snapToGrid/>
        <w:sz w:val="24"/>
        <w:szCs w:val="24"/>
      </w:rPr>
    </w:lvl>
  </w:abstractNum>
  <w:abstractNum w:abstractNumId="4">
    <w:nsid w:val="07F2C3B4"/>
    <w:multiLevelType w:val="singleLevel"/>
    <w:tmpl w:val="47A52EC1"/>
    <w:lvl w:ilvl="0">
      <w:numFmt w:val="bullet"/>
      <w:lvlText w:val="-"/>
      <w:lvlJc w:val="left"/>
      <w:pPr>
        <w:tabs>
          <w:tab w:val="num" w:pos="216"/>
        </w:tabs>
        <w:ind w:left="504"/>
      </w:pPr>
      <w:rPr>
        <w:rFonts w:ascii="Symbol" w:hAnsi="Symbol" w:cs="Symbol"/>
        <w:snapToGrid/>
        <w:sz w:val="20"/>
        <w:szCs w:val="20"/>
      </w:rPr>
    </w:lvl>
  </w:abstractNum>
  <w:abstractNum w:abstractNumId="5">
    <w:nsid w:val="589524A7"/>
    <w:multiLevelType w:val="hybridMultilevel"/>
    <w:tmpl w:val="98E873B8"/>
    <w:lvl w:ilvl="0" w:tplc="47A52EC1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numFmt w:val="bullet"/>
        <w:lvlText w:val="-"/>
        <w:lvlJc w:val="left"/>
        <w:pPr>
          <w:tabs>
            <w:tab w:val="num" w:pos="144"/>
          </w:tabs>
          <w:ind w:left="576"/>
        </w:pPr>
        <w:rPr>
          <w:rFonts w:ascii="Symbol" w:hAnsi="Symbol" w:cs="Symbol"/>
          <w:snapToGrid/>
          <w:sz w:val="20"/>
          <w:szCs w:val="20"/>
        </w:rPr>
      </w:lvl>
    </w:lvlOverride>
  </w:num>
  <w:num w:numId="3">
    <w:abstractNumId w:val="1"/>
  </w:num>
  <w:num w:numId="4">
    <w:abstractNumId w:val="1"/>
    <w:lvlOverride w:ilvl="0">
      <w:lvl w:ilvl="0">
        <w:numFmt w:val="bullet"/>
        <w:lvlText w:val="-"/>
        <w:lvlJc w:val="left"/>
        <w:pPr>
          <w:tabs>
            <w:tab w:val="num" w:pos="144"/>
          </w:tabs>
          <w:ind w:left="576"/>
        </w:pPr>
        <w:rPr>
          <w:rFonts w:ascii="Symbol" w:hAnsi="Symbol" w:cs="Symbol"/>
          <w:snapToGrid/>
          <w:sz w:val="18"/>
          <w:szCs w:val="18"/>
        </w:rPr>
      </w:lvl>
    </w:lvlOverride>
  </w:num>
  <w:num w:numId="5">
    <w:abstractNumId w:val="5"/>
  </w:num>
  <w:num w:numId="6">
    <w:abstractNumId w:val="3"/>
  </w:num>
  <w:num w:numId="7">
    <w:abstractNumId w:val="3"/>
    <w:lvlOverride w:ilvl="0">
      <w:lvl w:ilvl="0">
        <w:numFmt w:val="bullet"/>
        <w:lvlText w:val="и"/>
        <w:lvlJc w:val="left"/>
        <w:pPr>
          <w:tabs>
            <w:tab w:val="num" w:pos="216"/>
          </w:tabs>
        </w:pPr>
        <w:rPr>
          <w:rFonts w:ascii="Arial" w:hAnsi="Arial" w:cs="Arial"/>
          <w:snapToGrid/>
          <w:sz w:val="28"/>
          <w:szCs w:val="28"/>
        </w:rPr>
      </w:lvl>
    </w:lvlOverride>
  </w:num>
  <w:num w:numId="8">
    <w:abstractNumId w:val="2"/>
  </w:num>
  <w:num w:numId="9">
    <w:abstractNumId w:val="0"/>
  </w:num>
  <w:num w:numId="10">
    <w:abstractNumId w:val="0"/>
    <w:lvlOverride w:ilvl="0">
      <w:lvl w:ilvl="0">
        <w:numFmt w:val="decimal"/>
        <w:lvlText w:val="%1)"/>
        <w:lvlJc w:val="left"/>
        <w:pPr>
          <w:tabs>
            <w:tab w:val="num" w:pos="432"/>
          </w:tabs>
          <w:ind w:firstLine="792"/>
        </w:pPr>
        <w:rPr>
          <w:rFonts w:ascii="Arial" w:hAnsi="Arial" w:cs="Arial"/>
          <w:snapToGrid/>
          <w:sz w:val="22"/>
          <w:szCs w:val="22"/>
        </w:rPr>
      </w:lvl>
    </w:lvlOverride>
  </w:num>
  <w:num w:numId="11">
    <w:abstractNumId w:val="0"/>
    <w:lvlOverride w:ilvl="0">
      <w:lvl w:ilvl="0">
        <w:numFmt w:val="decimal"/>
        <w:lvlText w:val="%1)"/>
        <w:lvlJc w:val="left"/>
        <w:pPr>
          <w:tabs>
            <w:tab w:val="num" w:pos="504"/>
          </w:tabs>
          <w:ind w:firstLine="792"/>
        </w:pPr>
        <w:rPr>
          <w:rFonts w:ascii="Arial" w:hAnsi="Arial" w:cs="Arial"/>
          <w:snapToGrid/>
          <w:spacing w:val="14"/>
          <w:sz w:val="22"/>
          <w:szCs w:val="22"/>
        </w:rPr>
      </w:lvl>
    </w:lvlOverride>
  </w:num>
  <w:num w:numId="12">
    <w:abstractNumId w:val="0"/>
    <w:lvlOverride w:ilvl="0">
      <w:lvl w:ilvl="0">
        <w:numFmt w:val="decimal"/>
        <w:lvlText w:val="%1)"/>
        <w:lvlJc w:val="left"/>
        <w:pPr>
          <w:tabs>
            <w:tab w:val="num" w:pos="288"/>
          </w:tabs>
          <w:ind w:firstLine="792"/>
        </w:pPr>
        <w:rPr>
          <w:rFonts w:ascii="Arial" w:hAnsi="Arial" w:cs="Arial"/>
          <w:snapToGrid/>
          <w:sz w:val="22"/>
          <w:szCs w:val="22"/>
        </w:rPr>
      </w:lvl>
    </w:lvlOverride>
  </w:num>
  <w:num w:numId="13">
    <w:abstractNumId w:val="0"/>
    <w:lvlOverride w:ilvl="0">
      <w:lvl w:ilvl="0">
        <w:numFmt w:val="decimal"/>
        <w:lvlText w:val="%1)"/>
        <w:lvlJc w:val="left"/>
        <w:pPr>
          <w:tabs>
            <w:tab w:val="num" w:pos="576"/>
          </w:tabs>
          <w:ind w:firstLine="792"/>
        </w:pPr>
        <w:rPr>
          <w:rFonts w:ascii="Arial" w:hAnsi="Arial" w:cs="Arial"/>
          <w:snapToGrid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9714D"/>
    <w:rsid w:val="000B56F3"/>
    <w:rsid w:val="000C0BD1"/>
    <w:rsid w:val="000F4E9E"/>
    <w:rsid w:val="00104B44"/>
    <w:rsid w:val="001859B8"/>
    <w:rsid w:val="0020721B"/>
    <w:rsid w:val="00331368"/>
    <w:rsid w:val="00351801"/>
    <w:rsid w:val="003831E9"/>
    <w:rsid w:val="00461750"/>
    <w:rsid w:val="00486180"/>
    <w:rsid w:val="004C2010"/>
    <w:rsid w:val="004D4958"/>
    <w:rsid w:val="004F787F"/>
    <w:rsid w:val="00543848"/>
    <w:rsid w:val="005C1CCA"/>
    <w:rsid w:val="005C3767"/>
    <w:rsid w:val="005F4C54"/>
    <w:rsid w:val="00603EC5"/>
    <w:rsid w:val="00655F93"/>
    <w:rsid w:val="0067542F"/>
    <w:rsid w:val="007079AB"/>
    <w:rsid w:val="00712183"/>
    <w:rsid w:val="00725BF8"/>
    <w:rsid w:val="00756E13"/>
    <w:rsid w:val="007905D0"/>
    <w:rsid w:val="007A1685"/>
    <w:rsid w:val="007C1515"/>
    <w:rsid w:val="007C2C85"/>
    <w:rsid w:val="007C5BF8"/>
    <w:rsid w:val="00843609"/>
    <w:rsid w:val="008A7AD7"/>
    <w:rsid w:val="008C2A75"/>
    <w:rsid w:val="00910F81"/>
    <w:rsid w:val="009215D6"/>
    <w:rsid w:val="00983534"/>
    <w:rsid w:val="00995AAE"/>
    <w:rsid w:val="009E2698"/>
    <w:rsid w:val="00A719BC"/>
    <w:rsid w:val="00A93067"/>
    <w:rsid w:val="00AD749D"/>
    <w:rsid w:val="00B132D5"/>
    <w:rsid w:val="00B74BD9"/>
    <w:rsid w:val="00C061DB"/>
    <w:rsid w:val="00C24CDA"/>
    <w:rsid w:val="00C26DDA"/>
    <w:rsid w:val="00CC2413"/>
    <w:rsid w:val="00CE2C23"/>
    <w:rsid w:val="00DA4BE1"/>
    <w:rsid w:val="00DC5079"/>
    <w:rsid w:val="00E23833"/>
    <w:rsid w:val="00E45CD3"/>
    <w:rsid w:val="00E46994"/>
    <w:rsid w:val="00EC3B1C"/>
    <w:rsid w:val="00EF781D"/>
    <w:rsid w:val="00F45F7C"/>
    <w:rsid w:val="00F9778A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B9BDA-FC38-4A60-9791-49E6FBFC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D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8A7AD7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0B56F3"/>
    <w:pPr>
      <w:framePr w:w="4468" w:h="3505" w:hRule="exact" w:hSpace="180" w:wrap="auto" w:vAnchor="text" w:hAnchor="page" w:x="1146" w:y="117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0B56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0B56F3"/>
    <w:pPr>
      <w:framePr w:w="4109" w:h="3608" w:hSpace="180" w:wrap="auto" w:vAnchor="text" w:hAnchor="page" w:x="7066" w:y="292"/>
      <w:suppressAutoHyphens/>
    </w:pPr>
    <w:rPr>
      <w:rFonts w:ascii="Times New Roman" w:hAnsi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0B56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caption"/>
    <w:basedOn w:val="a"/>
    <w:next w:val="a"/>
    <w:qFormat/>
    <w:rsid w:val="000B56F3"/>
    <w:pPr>
      <w:framePr w:w="4468" w:h="4472" w:hRule="exact" w:hSpace="180" w:wrap="auto" w:vAnchor="text" w:hAnchor="page" w:x="1445" w:y="724"/>
      <w:jc w:val="center"/>
    </w:pPr>
    <w:rPr>
      <w:rFonts w:ascii="Times New Roman" w:hAnsi="Times New Roman"/>
      <w:b/>
      <w:sz w:val="18"/>
      <w:szCs w:val="20"/>
    </w:rPr>
  </w:style>
  <w:style w:type="paragraph" w:customStyle="1" w:styleId="CharChar4">
    <w:name w:val="Char Char4 Знак Знак Знак"/>
    <w:basedOn w:val="a"/>
    <w:rsid w:val="000B56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EC3B1C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a0"/>
    <w:link w:val="ab"/>
    <w:rsid w:val="00EC3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079AB"/>
    <w:pPr>
      <w:ind w:left="720"/>
      <w:contextualSpacing/>
    </w:pPr>
  </w:style>
  <w:style w:type="paragraph" w:styleId="ae">
    <w:name w:val="No Spacing"/>
    <w:uiPriority w:val="1"/>
    <w:qFormat/>
    <w:rsid w:val="0071218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671D8-DBD2-4E94-9B60-E3A69DA5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Alieva</cp:lastModifiedBy>
  <cp:revision>3</cp:revision>
  <cp:lastPrinted>2015-05-07T07:37:00Z</cp:lastPrinted>
  <dcterms:created xsi:type="dcterms:W3CDTF">2015-05-07T08:04:00Z</dcterms:created>
  <dcterms:modified xsi:type="dcterms:W3CDTF">2015-05-07T12:36:00Z</dcterms:modified>
</cp:coreProperties>
</file>