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17" w:rsidRDefault="00D27817" w:rsidP="00D27817">
      <w:pPr>
        <w:spacing w:line="23" w:lineRule="atLeast"/>
        <w:ind w:firstLine="426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55010">
        <w:rPr>
          <w:rFonts w:ascii="Times New Roman" w:hAnsi="Times New Roman"/>
          <w:b/>
          <w:sz w:val="26"/>
          <w:szCs w:val="26"/>
        </w:rPr>
        <w:t>АО «Гарантийный фонд Республики Коми»</w:t>
      </w:r>
    </w:p>
    <w:p w:rsidR="00D27817" w:rsidRPr="00055010" w:rsidRDefault="00D27817" w:rsidP="00D27817">
      <w:pPr>
        <w:spacing w:line="23" w:lineRule="atLeast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D27817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экономики Республики Коми информирует: 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Гарантийный фонд Республики Коми оказывает поддержку малому и среднему бизнесу Республики Коми (юр. лицам и ИП) при получении банковских кредитов.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Акционерное общество «Гарантийный фонд Республики Коми» осуществляет свою деятельность с октября 2010 года (Постановление Правительства Республики Коми от 04 октября 2010 г. №334).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Задачи Фонда: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Развитие системы кредитования малого и среднего предпринимательства.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Максимальное удовлетворение потребностей малого и среднего бизнеса в кредитных ресурсах и оказание поддержки малому и среднему предпринимательству.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Содействие формированию среди населения положительного имиджа предпринимательства.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>Формирование благоприятной внешней среды для развития предпринимательства, в том числе: формирование условий, обеспечивающих устойчивый рост числа субъектов малого и среднего предпринимательства, увеличение доли занятого в таких предприятиях населения.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5010">
        <w:rPr>
          <w:rFonts w:ascii="Times New Roman" w:hAnsi="Times New Roman"/>
          <w:sz w:val="26"/>
          <w:szCs w:val="26"/>
        </w:rPr>
        <w:t xml:space="preserve">Обеспечение исполнения обязательств по заключенным договорам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Финансовое обеспечение программ развития и поддержки малого и среднего предпринимательства путем аккумулирования бюджетных средств и доходов от собственной деятельности.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Предоставление обеспечения по обязательствам субъектов малого и среднего предпринимательства и организаций инфраструктуры поддержки малого и среднего предпринимательства, основанных на кредитных договорах в форме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Увеличение объема обеспечения по обязательствам субъектов малого и среднего предпринимательства и организаций инфраструктуры поддержки малого и среднего предпринимательства, основанных на кредитных договорах в форме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Основным видом деятельности Фонда является предоставление поручительства по обязательствам субъектов малого и среднего предпринимательства и организаций инфраструктуры поддержки малого и среднего предпринимательства. Поручительство предоставляется исключительно субъектам малого и среднего предпринимательства отвечающим критериям отнесения к категории субъектов малого и среднего предпринимательства в соответствии с положениями Федерального закона от 24 июля 2007 года №209-ФЗ «О развитии малого и среднего предпринимательства в Российской Федерации». Следует отметить, что банк может накладывать дополнительные ограничения при предоставлении кредита.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Преимущества работы с Фондом: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Возможность получения кредита в Банке при отсутствии собственного достаточного обеспечения.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Простота схемы получения поручительства (не требуется специального предварительного обращения в Фонд за получением поручительства).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Отсутствие необходимости сбора документов для Фонда (документы в Фонд представляются банком из числа полученных от субъекта предпринимательства); субъект малого (среднего) предпринимательства подписывает только заявку на предоставление поручительства Фонда (по типовой форме), согласованную с Банком и в случае принятия положительного решения – договор поручительства (по типовой форме).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Быстрота принятия решения о предоставлении поручительства (решение принимается в срок до 3 рабочих дней после поступления заявки на предоставление поручительства).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Критерии предоставления поручительства Фондом являются простыми и понятными и в целом соответствуют критериям выдачи кредита самими банками.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lastRenderedPageBreak/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Отсутствие при предоставлении поручительства сколько-нибудь значимых ограничений по цели, сроку, сумме кредита.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Гибкий подход к обеспечению Заемщика (принимается любое обеспечение в размере не менее 30 % от суммы кредита и процентов за их использование, которое будет одобрено Банком)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Преимущества при получении поручительства Фонда по кредитным договорам для субъектов малого и среднего предпринимательства имеют занятые в сферах: сельское хозяйство, охота и лесное хозяйство; рыболовство, рыбоводство; добыча полезных ископаемых; обрабатывающие производства; производство и распределение электроэнергии, газа и воды; строительство; въездной и внутренний туризм; транспорт и связь; народно-художественные промыслы; инновационная деятельность.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Условия предоставления поручительств (соответствуют условиям предоставления кредита в банках):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регистрация в соответствии с законодательством Российской Федерации на территории Республики Коми;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осуществление хозяйственной деятельности на дату обращения за получением поручительства Фонда сроком не менее 3 (трех) месяцев;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отсутствие за 3 (три) месяца, предшествующих дате обращения за получением поручительства Фонда нарушений условий ранее заключенных кредитных договоров;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отсутствие на последнюю отчетную дату перед датой обращения за получением поручительства Фонда просроченной задолженности по начисленным налогам, сборам и иным обязательным платежам перед бюджетами всех уровней;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в отношении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предоставившим обеспечение кредита в размере не менее 30 % от суммы своих обязательств в части возврата фактически полученной суммы кредита и уплаты процентов на нее;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кредитам, выдаваемым в валюте Российской Федерации;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кредитным договорам одного заемщика на общую сумму основного долга не менее 500 (пятисот) тысяч рублей;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кредитному договору, заключенному на срок не менее 1 (одного) года и не более 7 (семи) лет;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-</w:t>
      </w:r>
      <w:r w:rsidRPr="00055010">
        <w:rPr>
          <w:rFonts w:ascii="Times New Roman" w:hAnsi="Times New Roman"/>
          <w:sz w:val="26"/>
          <w:szCs w:val="26"/>
        </w:rPr>
        <w:tab/>
        <w:t xml:space="preserve">уплатившим Фонду, в установленном договором поручительства порядке, вознаграждение за получение поручительства Фонда.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Как воспользоваться поручительством Фонда?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Необходимо самостоятельно обратиться в Банк, с которым Фонд заключил соглашение о сотрудничестве (далее – Банк-партнер) с заявкой на получение кредита.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Банк-партнер рассматривает заявку и принимает решение о возможности кредитования.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Если единственное препятствие к получению кредита - недостаточная залоговая база, то Банк-партнер информирует о возможности привлечения поручительства Фонда.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Банк-партнер в срок не более 2 (Двух) рабочих дней с момента изъявления Заемщиком согласия направляет в Фонд заявку на получение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Фонд в срок не более 3 (Трех) рабочих дней с момента получения заявки принимает решение о предоставлении поручительства Заемщику.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Решение Фонда в письменной форме доводится до сведения Банка-партнера в течение 3 (Трех) рабочих дней со дня принятия решения.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lastRenderedPageBreak/>
        <w:t xml:space="preserve">Банк-партнер и Заемщик в срок не позднее 3 (Трех) рабочих дней с момента их уведомления Фондом о принятии решения документально оформляют поручительство Фонда.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Размер вознаграждения за предоставление поручительства составляет: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кредитным договорам сроком от одного года до двух лет — 2,0% от суммы предоставленного поручительства;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кредитным договорам сроком от 2 лет и более — 2,5% от суммы предоставленного поручительства;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•</w:t>
      </w:r>
      <w:r w:rsidRPr="00055010">
        <w:rPr>
          <w:rFonts w:ascii="Times New Roman" w:hAnsi="Times New Roman"/>
          <w:sz w:val="26"/>
          <w:szCs w:val="26"/>
        </w:rPr>
        <w:tab/>
        <w:t xml:space="preserve">по кредитным договорам «вновь начинающим </w:t>
      </w:r>
      <w:proofErr w:type="gramStart"/>
      <w:r w:rsidRPr="00055010">
        <w:rPr>
          <w:rFonts w:ascii="Times New Roman" w:hAnsi="Times New Roman"/>
          <w:sz w:val="26"/>
          <w:szCs w:val="26"/>
        </w:rPr>
        <w:t>предпринимателям»*</w:t>
      </w:r>
      <w:proofErr w:type="gramEnd"/>
      <w:r w:rsidRPr="00055010">
        <w:rPr>
          <w:rFonts w:ascii="Times New Roman" w:hAnsi="Times New Roman"/>
          <w:sz w:val="26"/>
          <w:szCs w:val="26"/>
        </w:rPr>
        <w:t xml:space="preserve"> - 0,5% от суммы предоставляемого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Оплата вознаграждения производится единовременно в сроки, установленные договором поручительства.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Размер поручительства в отношении одного Заемщика (по действующим договорам) не может превышать 10% от активов Фонда, предназначенных для обеспечения исполнения обязательств гарантийного фонда и не более 70% от суммы обязательств заёмщика перед банком по основному долгу.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Максимальный размер поручительства Гарантийного фонда Республики Коми в отношении одного Заемщика составляет 5(пять) миллионов рублей.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Список банков-партнеров, з</w:t>
      </w:r>
      <w:r>
        <w:rPr>
          <w:rFonts w:ascii="Times New Roman" w:hAnsi="Times New Roman"/>
          <w:sz w:val="26"/>
          <w:szCs w:val="26"/>
        </w:rPr>
        <w:t xml:space="preserve">аключивших с Фондом соглашения </w:t>
      </w:r>
      <w:r w:rsidRPr="00055010">
        <w:rPr>
          <w:rFonts w:ascii="Times New Roman" w:hAnsi="Times New Roman"/>
          <w:sz w:val="26"/>
          <w:szCs w:val="26"/>
        </w:rPr>
        <w:t xml:space="preserve">по программе предоставления поручительств: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5010">
        <w:rPr>
          <w:rFonts w:ascii="Times New Roman" w:hAnsi="Times New Roman"/>
          <w:sz w:val="26"/>
          <w:szCs w:val="26"/>
        </w:rPr>
        <w:t>·  ОАО</w:t>
      </w:r>
      <w:proofErr w:type="gramEnd"/>
      <w:r w:rsidRPr="00055010">
        <w:rPr>
          <w:rFonts w:ascii="Times New Roman" w:hAnsi="Times New Roman"/>
          <w:sz w:val="26"/>
          <w:szCs w:val="26"/>
        </w:rPr>
        <w:t xml:space="preserve"> «Сбербанк России»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· Коми </w:t>
      </w:r>
      <w:proofErr w:type="gramStart"/>
      <w:r w:rsidRPr="00055010">
        <w:rPr>
          <w:rFonts w:ascii="Times New Roman" w:hAnsi="Times New Roman"/>
          <w:sz w:val="26"/>
          <w:szCs w:val="26"/>
        </w:rPr>
        <w:t>РФ  ОАО</w:t>
      </w:r>
      <w:proofErr w:type="gramEnd"/>
      <w:r w:rsidRPr="00055010">
        <w:rPr>
          <w:rFonts w:ascii="Times New Roman" w:hAnsi="Times New Roman"/>
          <w:sz w:val="26"/>
          <w:szCs w:val="26"/>
        </w:rPr>
        <w:t xml:space="preserve"> «Россельхозбанк»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Банк ВТБ 24 (ПАО)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АКБ «</w:t>
      </w:r>
      <w:proofErr w:type="spellStart"/>
      <w:r w:rsidRPr="00055010">
        <w:rPr>
          <w:rFonts w:ascii="Times New Roman" w:hAnsi="Times New Roman"/>
          <w:sz w:val="26"/>
          <w:szCs w:val="26"/>
        </w:rPr>
        <w:t>Транскапиталбанк</w:t>
      </w:r>
      <w:proofErr w:type="spellEnd"/>
      <w:r w:rsidRPr="00055010">
        <w:rPr>
          <w:rFonts w:ascii="Times New Roman" w:hAnsi="Times New Roman"/>
          <w:sz w:val="26"/>
          <w:szCs w:val="26"/>
        </w:rPr>
        <w:t>» (ПАО)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ОАО «Банк УРАЛСИБ»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ОА КБ «Северный Кредит» г. Ухта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КБ «РОСПРОМБАНК» (ООО) г. Сыктывкар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КБ «РОСПРОМБАНК» (ООО) г. Усинск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ОАО АКБ «</w:t>
      </w:r>
      <w:proofErr w:type="spellStart"/>
      <w:r w:rsidRPr="00055010">
        <w:rPr>
          <w:rFonts w:ascii="Times New Roman" w:hAnsi="Times New Roman"/>
          <w:sz w:val="26"/>
          <w:szCs w:val="26"/>
        </w:rPr>
        <w:t>Пробизнесбанк</w:t>
      </w:r>
      <w:proofErr w:type="spellEnd"/>
      <w:r w:rsidRPr="00055010">
        <w:rPr>
          <w:rFonts w:ascii="Times New Roman" w:hAnsi="Times New Roman"/>
          <w:sz w:val="26"/>
          <w:szCs w:val="26"/>
        </w:rPr>
        <w:t>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ПАО «БАНК СГБ»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ПАО «МТС - банк»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ОАО «СКБ - банк»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АО КБ «РУБЛЕВ»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ПАО «Промсвязьбанк»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ПАО "Ханты-Мансийский Банк Открытие"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· ПАО БАНК «ЮГРА»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Контактные данные: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 xml:space="preserve">Генеральный директор - Чупрова Ольга Геннадьевна    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Время работы: с 09:00 до 17:30 ежедневно, обед с 13:00 до 14:00 (выходные: суббота, воскресенье).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Телефон: 8(8212) 44-55-07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E-</w:t>
      </w:r>
      <w:proofErr w:type="spellStart"/>
      <w:r w:rsidRPr="00055010">
        <w:rPr>
          <w:rFonts w:ascii="Times New Roman" w:hAnsi="Times New Roman"/>
          <w:sz w:val="26"/>
          <w:szCs w:val="26"/>
        </w:rPr>
        <w:t>mail</w:t>
      </w:r>
      <w:proofErr w:type="spellEnd"/>
      <w:r w:rsidRPr="00055010">
        <w:rPr>
          <w:rFonts w:ascii="Times New Roman" w:hAnsi="Times New Roman"/>
          <w:sz w:val="26"/>
          <w:szCs w:val="26"/>
        </w:rPr>
        <w:t>: gendir.garantfond@gmail.com</w:t>
      </w:r>
    </w:p>
    <w:p w:rsidR="00D27817" w:rsidRPr="00055010" w:rsidRDefault="00D27817" w:rsidP="00D27817">
      <w:pPr>
        <w:spacing w:line="2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55010">
        <w:rPr>
          <w:rFonts w:ascii="Times New Roman" w:hAnsi="Times New Roman"/>
          <w:sz w:val="26"/>
          <w:szCs w:val="26"/>
        </w:rPr>
        <w:t>Адрес: г. Сыктывкар, ул. Интернациональная, д. 108, оф. 303.</w:t>
      </w:r>
    </w:p>
    <w:p w:rsidR="00F45F7C" w:rsidRPr="00331368" w:rsidRDefault="00F45F7C" w:rsidP="00D27817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F45F7C" w:rsidRPr="00331368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p w:rsidR="00F45F7C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sectPr w:rsidR="00F45F7C" w:rsidSect="007079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B443"/>
    <w:multiLevelType w:val="singleLevel"/>
    <w:tmpl w:val="078D1446"/>
    <w:lvl w:ilvl="0">
      <w:numFmt w:val="bullet"/>
      <w:lvlText w:val="-"/>
      <w:lvlJc w:val="left"/>
      <w:pPr>
        <w:tabs>
          <w:tab w:val="num" w:pos="144"/>
        </w:tabs>
        <w:ind w:left="576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3E20C05"/>
    <w:multiLevelType w:val="singleLevel"/>
    <w:tmpl w:val="14041588"/>
    <w:lvl w:ilvl="0">
      <w:numFmt w:val="bullet"/>
      <w:lvlText w:val="В"/>
      <w:lvlJc w:val="left"/>
      <w:pPr>
        <w:tabs>
          <w:tab w:val="num" w:pos="360"/>
        </w:tabs>
        <w:ind w:firstLine="648"/>
      </w:pPr>
      <w:rPr>
        <w:rFonts w:ascii="Arial" w:hAnsi="Arial" w:cs="Arial"/>
        <w:snapToGrid/>
        <w:sz w:val="24"/>
        <w:szCs w:val="24"/>
      </w:rPr>
    </w:lvl>
  </w:abstractNum>
  <w:abstractNum w:abstractNumId="2" w15:restartNumberingAfterBreak="0">
    <w:nsid w:val="077775DA"/>
    <w:multiLevelType w:val="singleLevel"/>
    <w:tmpl w:val="07C6AC77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 w:cs="Arial"/>
        <w:snapToGrid/>
        <w:sz w:val="24"/>
        <w:szCs w:val="24"/>
      </w:rPr>
    </w:lvl>
  </w:abstractNum>
  <w:abstractNum w:abstractNumId="3" w15:restartNumberingAfterBreak="0">
    <w:nsid w:val="07F2C3B4"/>
    <w:multiLevelType w:val="singleLevel"/>
    <w:tmpl w:val="47A52EC1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589524A7"/>
    <w:multiLevelType w:val="hybridMultilevel"/>
    <w:tmpl w:val="98E873B8"/>
    <w:lvl w:ilvl="0" w:tplc="47A52EC1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20"/>
          <w:szCs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18"/>
          <w:szCs w:val="18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bullet"/>
        <w:lvlText w:val="и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9714D"/>
    <w:rsid w:val="000B56F3"/>
    <w:rsid w:val="000C0BD1"/>
    <w:rsid w:val="000F4E9E"/>
    <w:rsid w:val="001020E7"/>
    <w:rsid w:val="00104B44"/>
    <w:rsid w:val="00111E8B"/>
    <w:rsid w:val="001859B8"/>
    <w:rsid w:val="001A6D97"/>
    <w:rsid w:val="0020721B"/>
    <w:rsid w:val="00331368"/>
    <w:rsid w:val="00351801"/>
    <w:rsid w:val="003831E9"/>
    <w:rsid w:val="00461750"/>
    <w:rsid w:val="00486180"/>
    <w:rsid w:val="004C2010"/>
    <w:rsid w:val="004D4958"/>
    <w:rsid w:val="004F787F"/>
    <w:rsid w:val="00543848"/>
    <w:rsid w:val="005C1CCA"/>
    <w:rsid w:val="005C3682"/>
    <w:rsid w:val="005C3767"/>
    <w:rsid w:val="005F4C54"/>
    <w:rsid w:val="00603EC5"/>
    <w:rsid w:val="00655F93"/>
    <w:rsid w:val="0067542F"/>
    <w:rsid w:val="007079AB"/>
    <w:rsid w:val="00712183"/>
    <w:rsid w:val="00725BF8"/>
    <w:rsid w:val="00756E13"/>
    <w:rsid w:val="007905D0"/>
    <w:rsid w:val="007C2C85"/>
    <w:rsid w:val="007C5BF8"/>
    <w:rsid w:val="00843609"/>
    <w:rsid w:val="008A7AD7"/>
    <w:rsid w:val="008C2A75"/>
    <w:rsid w:val="008F225E"/>
    <w:rsid w:val="00910F81"/>
    <w:rsid w:val="009215D6"/>
    <w:rsid w:val="00983534"/>
    <w:rsid w:val="00995AAE"/>
    <w:rsid w:val="009E2698"/>
    <w:rsid w:val="00A93067"/>
    <w:rsid w:val="00AA23C9"/>
    <w:rsid w:val="00AD749D"/>
    <w:rsid w:val="00B132D5"/>
    <w:rsid w:val="00B7008E"/>
    <w:rsid w:val="00B74BD9"/>
    <w:rsid w:val="00B76F1D"/>
    <w:rsid w:val="00C061DB"/>
    <w:rsid w:val="00C26DDA"/>
    <w:rsid w:val="00C542F8"/>
    <w:rsid w:val="00CA687F"/>
    <w:rsid w:val="00CC2413"/>
    <w:rsid w:val="00CE2C23"/>
    <w:rsid w:val="00D27817"/>
    <w:rsid w:val="00D27B9F"/>
    <w:rsid w:val="00DA4BE1"/>
    <w:rsid w:val="00DC5079"/>
    <w:rsid w:val="00E23833"/>
    <w:rsid w:val="00E45CD3"/>
    <w:rsid w:val="00E46994"/>
    <w:rsid w:val="00EC3B1C"/>
    <w:rsid w:val="00EF781D"/>
    <w:rsid w:val="00F45F7C"/>
    <w:rsid w:val="00F9778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2F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C3B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79AB"/>
    <w:pPr>
      <w:ind w:left="720"/>
      <w:contextualSpacing/>
    </w:pPr>
  </w:style>
  <w:style w:type="paragraph" w:styleId="ae">
    <w:name w:val="No Spacing"/>
    <w:uiPriority w:val="1"/>
    <w:qFormat/>
    <w:rsid w:val="007121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C542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C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4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2F96-A065-4786-95BF-C658F96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3</cp:revision>
  <cp:lastPrinted>2016-04-21T05:59:00Z</cp:lastPrinted>
  <dcterms:created xsi:type="dcterms:W3CDTF">2016-04-20T14:32:00Z</dcterms:created>
  <dcterms:modified xsi:type="dcterms:W3CDTF">2016-04-21T06:00:00Z</dcterms:modified>
</cp:coreProperties>
</file>