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Развитию конкуренции в Республике К</w:t>
      </w:r>
      <w:r w:rsidR="005F31AA" w:rsidRPr="00F27A53">
        <w:rPr>
          <w:b/>
          <w:sz w:val="24"/>
          <w:szCs w:val="24"/>
        </w:rPr>
        <w:t>оми за 1 квартал 2021</w:t>
      </w:r>
      <w:r w:rsidRPr="00F27A53">
        <w:rPr>
          <w:b/>
          <w:sz w:val="24"/>
          <w:szCs w:val="24"/>
        </w:rPr>
        <w:t xml:space="preserve"> года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443"/>
        <w:gridCol w:w="1481"/>
        <w:gridCol w:w="2050"/>
        <w:gridCol w:w="2549"/>
        <w:gridCol w:w="4259"/>
      </w:tblGrid>
      <w:tr w:rsidR="0078403F" w:rsidRPr="00F27A53" w:rsidTr="004D70C7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4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4D70C7">
        <w:trPr>
          <w:trHeight w:val="79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F27A53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молодёжной политики Республики Коми</w:t>
            </w:r>
            <w:r w:rsidR="004A774F" w:rsidRPr="00F27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84" w:rsidRPr="00F27A53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  <w:r w:rsidR="004A774F" w:rsidRPr="00F27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F84" w:rsidRPr="00F27A53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6B2B22" w:rsidRPr="006B2B22" w:rsidRDefault="006B2B22" w:rsidP="006B2B2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B2B22">
              <w:rPr>
                <w:sz w:val="22"/>
                <w:szCs w:val="22"/>
              </w:rPr>
              <w:t>Внедрение системы персонифицированного финансирования в сфере образования в 202</w:t>
            </w:r>
            <w:r>
              <w:rPr>
                <w:sz w:val="22"/>
                <w:szCs w:val="22"/>
              </w:rPr>
              <w:t>1</w:t>
            </w:r>
            <w:r w:rsidRPr="006B2B22">
              <w:rPr>
                <w:sz w:val="22"/>
                <w:szCs w:val="22"/>
              </w:rPr>
              <w:t>году не предусмотрено</w:t>
            </w:r>
            <w:r>
              <w:rPr>
                <w:sz w:val="22"/>
                <w:szCs w:val="22"/>
              </w:rPr>
              <w:t>.</w:t>
            </w:r>
          </w:p>
          <w:p w:rsidR="009E0F84" w:rsidRPr="006B2B22" w:rsidRDefault="006B2B22" w:rsidP="006B2B2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B2B22">
              <w:rPr>
                <w:sz w:val="22"/>
                <w:szCs w:val="22"/>
              </w:rPr>
              <w:t xml:space="preserve">Мероприятия </w:t>
            </w:r>
            <w:r w:rsidRPr="006B2B22">
              <w:rPr>
                <w:sz w:val="22"/>
                <w:szCs w:val="22"/>
              </w:rPr>
              <w:t>программы дополнительного образования детей посредством системы персонифицированного финансирования</w:t>
            </w:r>
            <w:r w:rsidRPr="006B2B22">
              <w:rPr>
                <w:sz w:val="22"/>
                <w:szCs w:val="22"/>
              </w:rPr>
              <w:t xml:space="preserve"> на территории МР «</w:t>
            </w:r>
            <w:proofErr w:type="spellStart"/>
            <w:r w:rsidRPr="006B2B22">
              <w:rPr>
                <w:sz w:val="22"/>
                <w:szCs w:val="22"/>
              </w:rPr>
              <w:t>Княжпогостский</w:t>
            </w:r>
            <w:proofErr w:type="spellEnd"/>
            <w:r w:rsidRPr="006B2B22">
              <w:rPr>
                <w:sz w:val="22"/>
                <w:szCs w:val="22"/>
              </w:rPr>
              <w:t>» в 1 к</w:t>
            </w:r>
            <w:r>
              <w:rPr>
                <w:sz w:val="22"/>
                <w:szCs w:val="22"/>
              </w:rPr>
              <w:t>в</w:t>
            </w:r>
            <w:r w:rsidRPr="006B2B22">
              <w:rPr>
                <w:sz w:val="22"/>
                <w:szCs w:val="22"/>
              </w:rPr>
              <w:t>артале 2021 года не реализовывались.</w:t>
            </w:r>
          </w:p>
          <w:p w:rsidR="006B2B22" w:rsidRPr="00F27A53" w:rsidRDefault="006B2B22" w:rsidP="006B2B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8.2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8.3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6B2B22" w:rsidRDefault="006B2B2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B22">
              <w:rPr>
                <w:sz w:val="24"/>
                <w:szCs w:val="24"/>
              </w:rPr>
              <w:t>На территории МР «</w:t>
            </w:r>
            <w:proofErr w:type="spellStart"/>
            <w:r w:rsidRPr="006B2B22">
              <w:rPr>
                <w:sz w:val="24"/>
                <w:szCs w:val="24"/>
              </w:rPr>
              <w:t>Княжпогостский</w:t>
            </w:r>
            <w:proofErr w:type="spellEnd"/>
            <w:r w:rsidRPr="006B2B22">
              <w:rPr>
                <w:sz w:val="24"/>
                <w:szCs w:val="24"/>
              </w:rPr>
              <w:t xml:space="preserve">» не зарегистрированы организации дополнительного образования детей 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8.4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6B2B2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Грант </w:t>
            </w:r>
            <w:r w:rsidRPr="00F27A53">
              <w:rPr>
                <w:sz w:val="24"/>
                <w:szCs w:val="24"/>
              </w:rPr>
              <w:t>на исполнение государственного социального заказа на оказание государственных услуг в сфере дополнительного образования детей</w:t>
            </w:r>
            <w:r>
              <w:rPr>
                <w:sz w:val="24"/>
                <w:szCs w:val="24"/>
              </w:rPr>
              <w:t>, не предоставлялся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8.5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6B2B2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7F2F">
              <w:rPr>
                <w:color w:val="000000" w:themeColor="text1"/>
                <w:sz w:val="22"/>
                <w:szCs w:val="22"/>
              </w:rPr>
              <w:t xml:space="preserve">Информация на сайт, </w:t>
            </w:r>
            <w:proofErr w:type="spellStart"/>
            <w:r w:rsidRPr="00F97F2F">
              <w:rPr>
                <w:color w:val="000000" w:themeColor="text1"/>
                <w:sz w:val="22"/>
                <w:szCs w:val="22"/>
              </w:rPr>
              <w:t>ВКонтакт</w:t>
            </w:r>
            <w:proofErr w:type="spellEnd"/>
            <w:r w:rsidRPr="00F97F2F">
              <w:rPr>
                <w:color w:val="000000" w:themeColor="text1"/>
                <w:sz w:val="22"/>
                <w:szCs w:val="22"/>
              </w:rPr>
              <w:t>, рекламы, памятки, беседы, собрания.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6B2B22" w:rsidRPr="006B2B22" w:rsidRDefault="006B2B22" w:rsidP="006B2B22">
            <w:pPr>
              <w:pStyle w:val="ConsPlusNormal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2B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Оказание методической и консультативной помощи при проведении заочных мероприятий: районного слета лидеров ученического самоуправления и </w:t>
            </w:r>
            <w:r w:rsidRPr="006B2B22">
              <w:rPr>
                <w:rFonts w:ascii="Times New Roman" w:hAnsi="Times New Roman" w:cs="Times New Roman"/>
              </w:rPr>
              <w:t>районной краеведческой конференции в рамках программы «Отечество - Земля Коми», а также по вопросам ПФДО.</w:t>
            </w:r>
          </w:p>
          <w:p w:rsidR="009E0F84" w:rsidRPr="006B2B22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8.7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6B2B22" w:rsidRDefault="006B2B22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B2B22">
              <w:rPr>
                <w:color w:val="000000" w:themeColor="text1"/>
                <w:sz w:val="22"/>
                <w:szCs w:val="22"/>
              </w:rPr>
              <w:t>На территории МР «</w:t>
            </w:r>
            <w:proofErr w:type="spellStart"/>
            <w:r w:rsidRPr="006B2B22"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 w:rsidRPr="006B2B22">
              <w:rPr>
                <w:color w:val="000000" w:themeColor="text1"/>
                <w:sz w:val="22"/>
                <w:szCs w:val="22"/>
              </w:rPr>
              <w:t xml:space="preserve">» не зарегистрированы субъекты </w:t>
            </w:r>
            <w:proofErr w:type="gramStart"/>
            <w:r w:rsidRPr="006B2B22">
              <w:rPr>
                <w:color w:val="000000" w:themeColor="text1"/>
                <w:sz w:val="22"/>
                <w:szCs w:val="22"/>
              </w:rPr>
              <w:t>МСП,  о</w:t>
            </w:r>
            <w:r w:rsidRPr="006B2B22">
              <w:rPr>
                <w:sz w:val="22"/>
                <w:szCs w:val="22"/>
              </w:rPr>
              <w:t>казывающие</w:t>
            </w:r>
            <w:proofErr w:type="gramEnd"/>
            <w:r w:rsidRPr="006B2B22">
              <w:rPr>
                <w:sz w:val="22"/>
                <w:szCs w:val="22"/>
              </w:rPr>
              <w:t xml:space="preserve">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</w:t>
            </w:r>
          </w:p>
        </w:tc>
      </w:tr>
      <w:tr w:rsidR="00013015" w:rsidRPr="00F27A53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10.1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647FA8" w:rsidRPr="00F27A53" w:rsidRDefault="00647FA8" w:rsidP="0064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тарифам,</w:t>
            </w:r>
          </w:p>
          <w:p w:rsidR="009E0F84" w:rsidRPr="00F27A53" w:rsidRDefault="00647FA8" w:rsidP="0064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Коми</w:t>
            </w:r>
            <w:r w:rsidR="009E0F84" w:rsidRPr="00F27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Республике Коми (по согласованию)</w:t>
            </w:r>
          </w:p>
        </w:tc>
        <w:tc>
          <w:tcPr>
            <w:tcW w:w="4259" w:type="dxa"/>
          </w:tcPr>
          <w:p w:rsidR="009E0F84" w:rsidRPr="00F27A53" w:rsidRDefault="006B2B22" w:rsidP="006B2B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F27A53">
              <w:rPr>
                <w:sz w:val="24"/>
                <w:szCs w:val="24"/>
              </w:rPr>
              <w:t>онцессионны</w:t>
            </w:r>
            <w:r>
              <w:rPr>
                <w:sz w:val="24"/>
                <w:szCs w:val="24"/>
              </w:rPr>
              <w:t>е</w:t>
            </w:r>
            <w:r w:rsidRPr="00F27A53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F27A53">
              <w:rPr>
                <w:sz w:val="24"/>
                <w:szCs w:val="24"/>
              </w:rPr>
              <w:t xml:space="preserve"> в отношении объектов теплоснабжения</w:t>
            </w:r>
            <w:r>
              <w:rPr>
                <w:sz w:val="24"/>
                <w:szCs w:val="24"/>
              </w:rPr>
              <w:t xml:space="preserve"> за 1 кварта 2021 не заключались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10.2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правоустанавливающих документов на объекты теплоснабжения, постановка их на кадастровый учет в целях </w:t>
            </w: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10.3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27C1" w:rsidRPr="00F27A53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F27A53" w:rsidTr="004D70C7">
        <w:trPr>
          <w:trHeight w:val="1228"/>
          <w:tblHeader/>
        </w:trPr>
        <w:tc>
          <w:tcPr>
            <w:tcW w:w="0" w:type="auto"/>
          </w:tcPr>
          <w:p w:rsidR="00470850" w:rsidRPr="00F27A53" w:rsidRDefault="00470850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470850" w:rsidRPr="00F27A53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F27A53" w:rsidRDefault="00470850" w:rsidP="00470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050" w:type="dxa"/>
          </w:tcPr>
          <w:p w:rsidR="00470850" w:rsidRPr="00F27A53" w:rsidRDefault="00470850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70850" w:rsidRPr="00F27A53" w:rsidRDefault="00470850" w:rsidP="00470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470850" w:rsidRPr="006B2B22" w:rsidRDefault="006B2B22" w:rsidP="004708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B22">
              <w:rPr>
                <w:sz w:val="24"/>
                <w:szCs w:val="24"/>
              </w:rPr>
              <w:t>За 1 квартал 2021 заявок от операторов связи не поступало</w:t>
            </w:r>
          </w:p>
        </w:tc>
      </w:tr>
      <w:tr w:rsidR="0077374E" w:rsidRPr="00F27A53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77374E" w:rsidRPr="00F27A53" w:rsidRDefault="006257B6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74E" w:rsidRPr="00F27A53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в Республике Коми</w:t>
            </w:r>
          </w:p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9" w:type="dxa"/>
          </w:tcPr>
          <w:p w:rsidR="0077374E" w:rsidRPr="00E45EEB" w:rsidRDefault="00E45EEB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Стандарт</w:t>
            </w:r>
            <w:r w:rsidRPr="00E45EEB">
              <w:rPr>
                <w:sz w:val="22"/>
                <w:szCs w:val="22"/>
              </w:rPr>
              <w:t xml:space="preserve"> для предоставления информации для хозяйствующих субъектов частной формы собственности, желающих работать в сфере ритуальных услуг не разработан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E45EEB" w:rsidRDefault="00E45EEB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Мониторинг цен на ритуальные услуги проведен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31.4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  <w:r w:rsidRPr="00F27A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E45EEB" w:rsidRDefault="00E45EEB" w:rsidP="00E45E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На территории МР «</w:t>
            </w:r>
            <w:proofErr w:type="spellStart"/>
            <w:r w:rsidRPr="00E45EEB">
              <w:rPr>
                <w:sz w:val="22"/>
                <w:szCs w:val="22"/>
              </w:rPr>
              <w:t>Княжпогостский</w:t>
            </w:r>
            <w:proofErr w:type="spellEnd"/>
            <w:r w:rsidRPr="00E45EEB">
              <w:rPr>
                <w:sz w:val="22"/>
                <w:szCs w:val="22"/>
              </w:rPr>
              <w:t xml:space="preserve">» не зарегистрированы </w:t>
            </w:r>
            <w:r w:rsidRPr="00E45EEB">
              <w:rPr>
                <w:sz w:val="22"/>
                <w:szCs w:val="22"/>
                <w:lang w:eastAsia="en-US"/>
              </w:rPr>
              <w:t>унитарны</w:t>
            </w:r>
            <w:r w:rsidRPr="00E45EEB">
              <w:rPr>
                <w:sz w:val="22"/>
                <w:szCs w:val="22"/>
                <w:lang w:eastAsia="en-US"/>
              </w:rPr>
              <w:t>е</w:t>
            </w:r>
            <w:r w:rsidRPr="00E45EEB">
              <w:rPr>
                <w:sz w:val="22"/>
                <w:szCs w:val="22"/>
                <w:lang w:eastAsia="en-US"/>
              </w:rPr>
              <w:t xml:space="preserve"> предприяти</w:t>
            </w:r>
            <w:r w:rsidRPr="00E45EEB">
              <w:rPr>
                <w:sz w:val="22"/>
                <w:szCs w:val="22"/>
                <w:lang w:eastAsia="en-US"/>
              </w:rPr>
              <w:t>я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E45EEB" w:rsidP="00E45E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Реестр</w:t>
            </w:r>
            <w:r w:rsidRPr="00F27A53">
              <w:rPr>
                <w:sz w:val="24"/>
                <w:szCs w:val="24"/>
                <w:lang w:eastAsia="en-US"/>
              </w:rPr>
              <w:t xml:space="preserve">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  <w:r>
              <w:rPr>
                <w:sz w:val="24"/>
                <w:szCs w:val="24"/>
                <w:lang w:eastAsia="en-US"/>
              </w:rPr>
              <w:t>, сформирован</w:t>
            </w:r>
          </w:p>
        </w:tc>
      </w:tr>
      <w:tr w:rsidR="0077374E" w:rsidRPr="00F27A53" w:rsidTr="004D70C7">
        <w:trPr>
          <w:trHeight w:val="331"/>
          <w:tblHeader/>
        </w:trPr>
        <w:tc>
          <w:tcPr>
            <w:tcW w:w="14418" w:type="dxa"/>
            <w:gridSpan w:val="6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82" w:type="dxa"/>
            <w:gridSpan w:val="5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Республики Коми по закупкам (свод); заказчики Республики Коми (органы исполнительной власти Республики Коми, органы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Республике Коми) (по согласованию);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Коми в части п. 1.1 и 1.2 (по согласованию);</w:t>
            </w:r>
          </w:p>
          <w:p w:rsidR="0077374E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</w:tc>
        <w:tc>
          <w:tcPr>
            <w:tcW w:w="4259" w:type="dxa"/>
          </w:tcPr>
          <w:p w:rsidR="0077374E" w:rsidRPr="00F27A53" w:rsidRDefault="00E45EEB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lastRenderedPageBreak/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на постоянной основе </w:t>
            </w:r>
            <w:proofErr w:type="gramStart"/>
            <w:r>
              <w:rPr>
                <w:sz w:val="22"/>
                <w:szCs w:val="22"/>
              </w:rPr>
              <w:t xml:space="preserve">осуществляется  </w:t>
            </w:r>
            <w:r>
              <w:rPr>
                <w:color w:val="000000"/>
                <w:sz w:val="22"/>
                <w:szCs w:val="22"/>
              </w:rPr>
              <w:t>направление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рекомендательных  информационных писем  муниципальным заказчикам  по вопросам внесения изменений в действующее законодательство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E45EEB" w:rsidRDefault="00E45EEB" w:rsidP="00E45E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У администрации МР «</w:t>
            </w:r>
            <w:proofErr w:type="spellStart"/>
            <w:r w:rsidRPr="00E45EEB">
              <w:rPr>
                <w:sz w:val="22"/>
                <w:szCs w:val="22"/>
              </w:rPr>
              <w:t>Княжпогостский</w:t>
            </w:r>
            <w:proofErr w:type="spellEnd"/>
            <w:r w:rsidRPr="00E45EEB">
              <w:rPr>
                <w:sz w:val="22"/>
                <w:szCs w:val="22"/>
              </w:rPr>
              <w:t xml:space="preserve">» отсутствуют полномочия по проведению семинаров </w:t>
            </w:r>
            <w:r w:rsidRPr="00E45EEB">
              <w:rPr>
                <w:sz w:val="22"/>
                <w:szCs w:val="22"/>
              </w:rPr>
              <w:t>для участников закупок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E45EEB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 ежеквартально осуществляется анализ и мониторинг количества участников процедур закупок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E45EEB" w:rsidP="00E45EE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Принято </w:t>
            </w:r>
            <w:r w:rsidRPr="00C32529">
              <w:rPr>
                <w:sz w:val="22"/>
                <w:szCs w:val="22"/>
              </w:rPr>
              <w:t>Постановление администрации муниципального района "</w:t>
            </w:r>
            <w:proofErr w:type="spellStart"/>
            <w:r w:rsidRPr="00C32529">
              <w:rPr>
                <w:sz w:val="22"/>
                <w:szCs w:val="22"/>
              </w:rPr>
              <w:t>Княжпогостский</w:t>
            </w:r>
            <w:proofErr w:type="spellEnd"/>
            <w:r w:rsidRPr="00C32529">
              <w:rPr>
                <w:sz w:val="22"/>
                <w:szCs w:val="22"/>
              </w:rPr>
              <w:t>" от 23.01.2019 N 35 (ред. от 04.06.2019) "Об осуществлении закупок товаров, работ, услуг у единственного поставщика (подрядчика, исполнителя) с использованием электронного ресурса "Закупки малого объема Республики Коми" (вместе с "Положением об осуществлении закупок малого объема с использованием электронного ресурса "Закупки малого объема Республики Коми")</w:t>
            </w:r>
          </w:p>
        </w:tc>
      </w:tr>
      <w:tr w:rsidR="006257B6" w:rsidRPr="00F27A53" w:rsidTr="004D70C7">
        <w:trPr>
          <w:trHeight w:val="575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4C6C2A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F27A53" w:rsidRDefault="00E45EEB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 целях с</w:t>
            </w:r>
            <w:r w:rsidRPr="00794B3C">
              <w:rPr>
                <w:color w:val="000000"/>
                <w:sz w:val="22"/>
                <w:szCs w:val="22"/>
              </w:rPr>
              <w:t>воевременно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794B3C">
              <w:rPr>
                <w:color w:val="000000"/>
                <w:sz w:val="22"/>
                <w:szCs w:val="22"/>
              </w:rPr>
              <w:t xml:space="preserve"> выявление административных барьеров в целях дальнейшей выработки мероприятий по их устранению</w:t>
            </w:r>
            <w:r>
              <w:rPr>
                <w:color w:val="000000"/>
                <w:sz w:val="22"/>
                <w:szCs w:val="22"/>
              </w:rPr>
              <w:t xml:space="preserve"> администрацией проводится анализ причин. Основной из </w:t>
            </w:r>
            <w:proofErr w:type="spellStart"/>
            <w:r>
              <w:rPr>
                <w:color w:val="000000"/>
                <w:sz w:val="22"/>
                <w:szCs w:val="22"/>
              </w:rPr>
              <w:t>причин</w:t>
            </w:r>
            <w:r w:rsidRPr="00FC76CA">
              <w:rPr>
                <w:color w:val="000000"/>
                <w:sz w:val="22"/>
                <w:szCs w:val="22"/>
              </w:rPr>
              <w:t>"сложност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C76CA">
              <w:rPr>
                <w:color w:val="000000"/>
                <w:sz w:val="22"/>
                <w:szCs w:val="22"/>
              </w:rPr>
              <w:t>получения доступа к земельным участкам"</w:t>
            </w:r>
            <w:r>
              <w:rPr>
                <w:color w:val="000000"/>
                <w:sz w:val="22"/>
                <w:szCs w:val="22"/>
              </w:rPr>
              <w:t xml:space="preserve"> является отсутствие достаточных земельных ресурсов с развитой инфраструктурой для дальнейшего предоставления хозяйствующим субъектам.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3.8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7" w:history="1">
              <w:r w:rsidRPr="00F27A53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F27A53">
              <w:rPr>
                <w:sz w:val="24"/>
                <w:szCs w:val="24"/>
              </w:rPr>
              <w:t xml:space="preserve"> и </w:t>
            </w:r>
            <w:hyperlink r:id="rId8" w:history="1">
              <w:r w:rsidRPr="00F27A53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F27A53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Коми (по согласованию);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Коми; органы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57B6" w:rsidRPr="00F27A53" w:rsidTr="004D70C7">
        <w:trPr>
          <w:trHeight w:val="79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4.2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259" w:type="dxa"/>
          </w:tcPr>
          <w:p w:rsidR="006257B6" w:rsidRPr="00F27A53" w:rsidRDefault="00DE552D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ГУПов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МУПов</w:t>
            </w:r>
            <w:proofErr w:type="spellEnd"/>
            <w:r>
              <w:rPr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 не зарегистрированы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4.7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организационно- методическое руководство деятельности государственных унитарных предприятий Республики Коми;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443" w:type="dxa"/>
          </w:tcPr>
          <w:p w:rsidR="006257B6" w:rsidRPr="00F27A53" w:rsidRDefault="006257B6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50 %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C6C2A" w:rsidRPr="00F27A53" w:rsidRDefault="004C6C2A" w:rsidP="004C6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отношений;</w:t>
            </w:r>
          </w:p>
          <w:p w:rsidR="006257B6" w:rsidRPr="00F27A53" w:rsidRDefault="004C6C2A" w:rsidP="004C6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F27A53" w:rsidRDefault="00DE552D" w:rsidP="00DE55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1FED">
              <w:rPr>
                <w:sz w:val="20"/>
              </w:rPr>
              <w:t>Вопрос целесообразности применения конкурентных процедур при реализации или предоставлении во владение и (или) пользование непрофильных активов</w:t>
            </w:r>
            <w:r w:rsidRPr="00831FED">
              <w:rPr>
                <w:rFonts w:eastAsia="Calibri"/>
                <w:sz w:val="20"/>
                <w:lang w:eastAsia="en-US"/>
              </w:rPr>
              <w:t xml:space="preserve"> не актуален в связи с </w:t>
            </w:r>
            <w:proofErr w:type="gramStart"/>
            <w:r w:rsidRPr="00831FED">
              <w:rPr>
                <w:rFonts w:eastAsia="Calibri"/>
                <w:sz w:val="20"/>
                <w:lang w:eastAsia="en-US"/>
              </w:rPr>
              <w:t>отсутствием  у</w:t>
            </w:r>
            <w:proofErr w:type="gramEnd"/>
            <w:r w:rsidRPr="00831FED">
              <w:rPr>
                <w:rFonts w:eastAsia="Calibri"/>
                <w:sz w:val="20"/>
                <w:lang w:eastAsia="en-US"/>
              </w:rPr>
              <w:t xml:space="preserve"> хозяйственных обществ непрофильных активов.</w:t>
            </w:r>
          </w:p>
        </w:tc>
      </w:tr>
      <w:tr w:rsidR="006257B6" w:rsidRPr="00F27A53" w:rsidTr="004D70C7">
        <w:trPr>
          <w:trHeight w:val="845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6.1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Коми,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согласованию),</w:t>
            </w:r>
          </w:p>
          <w:p w:rsidR="006257B6" w:rsidRPr="00F27A53" w:rsidRDefault="006257B6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высшего образования,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расположенные на территории Республики Коми (по согласованию)</w:t>
            </w:r>
          </w:p>
        </w:tc>
        <w:tc>
          <w:tcPr>
            <w:tcW w:w="4259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57B6" w:rsidRPr="00F27A53" w:rsidTr="004D70C7">
        <w:trPr>
          <w:trHeight w:val="813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6257B6" w:rsidRPr="00F27A53" w:rsidTr="004D70C7">
        <w:trPr>
          <w:trHeight w:val="1228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9.1</w:t>
            </w:r>
          </w:p>
        </w:tc>
        <w:tc>
          <w:tcPr>
            <w:tcW w:w="3443" w:type="dxa"/>
          </w:tcPr>
          <w:p w:rsidR="006257B6" w:rsidRPr="00F27A53" w:rsidRDefault="006257B6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9" w:history="1">
              <w:r w:rsidRPr="00F27A5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6257B6" w:rsidRPr="00F27A53" w:rsidRDefault="006257B6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257B6" w:rsidRPr="00F27A53" w:rsidRDefault="000C2EE5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DE552D" w:rsidRDefault="00DE552D" w:rsidP="00DE552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DE552D">
              <w:rPr>
                <w:sz w:val="22"/>
                <w:szCs w:val="22"/>
              </w:rPr>
              <w:t xml:space="preserve">Вся информация о продаже муниципального имущества публикуется на едином официальном сайте </w:t>
            </w:r>
            <w:r w:rsidRPr="00DE552D">
              <w:rPr>
                <w:sz w:val="22"/>
                <w:szCs w:val="22"/>
                <w:u w:val="single"/>
              </w:rPr>
              <w:t>www.torgi.gov.ru,</w:t>
            </w:r>
            <w:r w:rsidRPr="00DE552D">
              <w:rPr>
                <w:sz w:val="22"/>
                <w:szCs w:val="22"/>
              </w:rPr>
              <w:t xml:space="preserve"> на электронной площадке - универсальной торговой платформе ЗАО «Сбербанк-АСТ» </w:t>
            </w:r>
            <w:hyperlink r:id="rId10" w:history="1">
              <w:r w:rsidRPr="00DE552D">
                <w:rPr>
                  <w:rStyle w:val="af0"/>
                  <w:color w:val="auto"/>
                  <w:sz w:val="22"/>
                  <w:szCs w:val="22"/>
                </w:rPr>
                <w:t>https://www.sberbank-ast.ru/</w:t>
              </w:r>
            </w:hyperlink>
            <w:r w:rsidRPr="00DE552D">
              <w:rPr>
                <w:sz w:val="22"/>
                <w:szCs w:val="22"/>
                <w:u w:val="single"/>
              </w:rPr>
              <w:t xml:space="preserve"> (торговая секция «Привати</w:t>
            </w:r>
            <w:r>
              <w:rPr>
                <w:sz w:val="22"/>
                <w:szCs w:val="22"/>
                <w:u w:val="single"/>
              </w:rPr>
              <w:t>зация, аренда и продажа прав»</w:t>
            </w:r>
            <w:proofErr w:type="gramStart"/>
            <w:r>
              <w:rPr>
                <w:sz w:val="22"/>
                <w:szCs w:val="22"/>
                <w:u w:val="single"/>
              </w:rPr>
              <w:t>),</w:t>
            </w:r>
            <w:r w:rsidRPr="00DE552D">
              <w:rPr>
                <w:sz w:val="22"/>
                <w:szCs w:val="22"/>
              </w:rPr>
              <w:t>на</w:t>
            </w:r>
            <w:proofErr w:type="gramEnd"/>
            <w:r w:rsidRPr="00DE552D">
              <w:rPr>
                <w:sz w:val="22"/>
                <w:szCs w:val="22"/>
              </w:rPr>
              <w:t xml:space="preserve"> официальном сайте </w:t>
            </w:r>
            <w:r w:rsidRPr="00DE552D">
              <w:rPr>
                <w:sz w:val="22"/>
                <w:szCs w:val="22"/>
              </w:rPr>
              <w:t>муниципального района «</w:t>
            </w:r>
            <w:proofErr w:type="spellStart"/>
            <w:r w:rsidRPr="00DE552D">
              <w:rPr>
                <w:sz w:val="22"/>
                <w:szCs w:val="22"/>
              </w:rPr>
              <w:t>Княжпогостский</w:t>
            </w:r>
            <w:proofErr w:type="spellEnd"/>
            <w:r w:rsidRPr="00DE552D">
              <w:rPr>
                <w:sz w:val="22"/>
                <w:szCs w:val="22"/>
              </w:rPr>
              <w:t>»</w:t>
            </w:r>
            <w:r w:rsidRPr="00DE552D">
              <w:rPr>
                <w:sz w:val="22"/>
                <w:szCs w:val="22"/>
              </w:rPr>
              <w:t xml:space="preserve"> в сети «Интернет» </w:t>
            </w:r>
            <w:r w:rsidRPr="00DE552D">
              <w:rPr>
                <w:sz w:val="22"/>
                <w:szCs w:val="22"/>
                <w:lang w:val="en-US"/>
              </w:rPr>
              <w:t>www</w:t>
            </w:r>
            <w:r w:rsidRPr="00DE552D">
              <w:rPr>
                <w:sz w:val="22"/>
                <w:szCs w:val="22"/>
              </w:rPr>
              <w:t>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mrk</w:t>
            </w:r>
            <w:proofErr w:type="spellEnd"/>
            <w:r w:rsidRPr="00DE552D">
              <w:rPr>
                <w:sz w:val="22"/>
                <w:szCs w:val="22"/>
              </w:rPr>
              <w:t>11.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2113"/>
        <w:gridCol w:w="2344"/>
        <w:gridCol w:w="4729"/>
        <w:gridCol w:w="5396"/>
      </w:tblGrid>
      <w:tr w:rsidR="00792977" w:rsidRPr="00F27A53" w:rsidTr="00007203">
        <w:trPr>
          <w:trHeight w:val="828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</w:t>
            </w:r>
            <w:proofErr w:type="gramStart"/>
            <w:r w:rsidRPr="00F27A53">
              <w:rPr>
                <w:bCs/>
                <w:color w:val="000000"/>
                <w:sz w:val="22"/>
                <w:szCs w:val="24"/>
              </w:rPr>
              <w:t>на  01.04.2021</w:t>
            </w:r>
            <w:proofErr w:type="gramEnd"/>
            <w:r w:rsidRPr="00F27A53">
              <w:rPr>
                <w:bCs/>
                <w:color w:val="000000"/>
                <w:sz w:val="22"/>
                <w:szCs w:val="24"/>
              </w:rPr>
              <w:t xml:space="preserve"> / количество частных организаций (в случае отсутствия информации по выручке)</w:t>
            </w:r>
          </w:p>
        </w:tc>
        <w:tc>
          <w:tcPr>
            <w:tcW w:w="0" w:type="auto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792977" w:rsidRPr="00F27A53" w:rsidTr="00007203">
        <w:trPr>
          <w:trHeight w:val="703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 xml:space="preserve">доля организаций частной формы собственности </w:t>
            </w:r>
            <w:r w:rsidR="00DE552D">
              <w:rPr>
                <w:iCs/>
                <w:color w:val="000000"/>
                <w:sz w:val="22"/>
                <w:szCs w:val="24"/>
              </w:rPr>
              <w:t>в сфере ритуальных услуг -100</w:t>
            </w:r>
            <w:r w:rsidRPr="00F27A53">
              <w:rPr>
                <w:iCs/>
                <w:color w:val="000000"/>
                <w:sz w:val="22"/>
                <w:szCs w:val="24"/>
              </w:rPr>
              <w:t>%</w:t>
            </w:r>
          </w:p>
        </w:tc>
        <w:tc>
          <w:tcPr>
            <w:tcW w:w="0" w:type="auto"/>
          </w:tcPr>
          <w:p w:rsidR="00792977" w:rsidRPr="00DE552D" w:rsidRDefault="00DE552D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  <w:lang w:val="en-US"/>
              </w:rPr>
            </w:pPr>
            <w:r>
              <w:rPr>
                <w:iCs/>
                <w:color w:val="000000"/>
                <w:sz w:val="22"/>
                <w:szCs w:val="24"/>
                <w:lang w:val="en-US"/>
              </w:rPr>
              <w:t>1049.0</w:t>
            </w:r>
          </w:p>
        </w:tc>
        <w:tc>
          <w:tcPr>
            <w:tcW w:w="0" w:type="auto"/>
          </w:tcPr>
          <w:p w:rsidR="00792977" w:rsidRPr="00DE552D" w:rsidRDefault="00DE552D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  <w:lang w:val="en-US"/>
              </w:rPr>
            </w:pPr>
            <w:r>
              <w:rPr>
                <w:iCs/>
                <w:color w:val="000000"/>
                <w:sz w:val="22"/>
                <w:szCs w:val="24"/>
                <w:lang w:val="en-US"/>
              </w:rPr>
              <w:t>1049.0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E6904" w:rsidRPr="00F27A53" w:rsidSect="00F27A53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87" w:rsidRDefault="00DA6B87" w:rsidP="00F27A53">
      <w:pPr>
        <w:spacing w:line="240" w:lineRule="auto"/>
      </w:pPr>
      <w:r>
        <w:separator/>
      </w:r>
    </w:p>
  </w:endnote>
  <w:endnote w:type="continuationSeparator" w:id="0">
    <w:p w:rsidR="00DA6B87" w:rsidRDefault="00DA6B87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87" w:rsidRDefault="00DA6B87" w:rsidP="00F27A53">
      <w:pPr>
        <w:spacing w:line="240" w:lineRule="auto"/>
      </w:pPr>
      <w:r>
        <w:separator/>
      </w:r>
    </w:p>
  </w:footnote>
  <w:footnote w:type="continuationSeparator" w:id="0">
    <w:p w:rsidR="00DA6B87" w:rsidRDefault="00DA6B87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27A53" w:rsidRPr="00F27A53" w:rsidRDefault="00F27A53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DE552D">
          <w:rPr>
            <w:noProof/>
            <w:sz w:val="20"/>
          </w:rPr>
          <w:t>2</w:t>
        </w:r>
        <w:r w:rsidRPr="00F27A53">
          <w:rPr>
            <w:sz w:val="20"/>
          </w:rPr>
          <w:fldChar w:fldCharType="end"/>
        </w:r>
      </w:p>
    </w:sdtContent>
  </w:sdt>
  <w:p w:rsidR="00F27A53" w:rsidRDefault="00F27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A"/>
    <w:rsid w:val="00007203"/>
    <w:rsid w:val="00013015"/>
    <w:rsid w:val="00047B2F"/>
    <w:rsid w:val="00083065"/>
    <w:rsid w:val="000C2EE5"/>
    <w:rsid w:val="001253BA"/>
    <w:rsid w:val="00136B6A"/>
    <w:rsid w:val="001928E3"/>
    <w:rsid w:val="001A3825"/>
    <w:rsid w:val="001E77AF"/>
    <w:rsid w:val="0024458E"/>
    <w:rsid w:val="00264A28"/>
    <w:rsid w:val="002844A5"/>
    <w:rsid w:val="00354643"/>
    <w:rsid w:val="00357DD8"/>
    <w:rsid w:val="003E2D6C"/>
    <w:rsid w:val="003F1C95"/>
    <w:rsid w:val="00470850"/>
    <w:rsid w:val="00476CC3"/>
    <w:rsid w:val="00490614"/>
    <w:rsid w:val="004A774F"/>
    <w:rsid w:val="004C381C"/>
    <w:rsid w:val="004C6C2A"/>
    <w:rsid w:val="004C717A"/>
    <w:rsid w:val="004D70C7"/>
    <w:rsid w:val="0053315B"/>
    <w:rsid w:val="00534B4F"/>
    <w:rsid w:val="005C7DF7"/>
    <w:rsid w:val="005F31AA"/>
    <w:rsid w:val="006257B6"/>
    <w:rsid w:val="00646CFD"/>
    <w:rsid w:val="00647FA8"/>
    <w:rsid w:val="00655224"/>
    <w:rsid w:val="0066545A"/>
    <w:rsid w:val="006B2B22"/>
    <w:rsid w:val="0077374E"/>
    <w:rsid w:val="0078403F"/>
    <w:rsid w:val="00792977"/>
    <w:rsid w:val="007A004C"/>
    <w:rsid w:val="007C6371"/>
    <w:rsid w:val="007E6904"/>
    <w:rsid w:val="008055A0"/>
    <w:rsid w:val="00825087"/>
    <w:rsid w:val="0088327A"/>
    <w:rsid w:val="00955201"/>
    <w:rsid w:val="009D4D3E"/>
    <w:rsid w:val="009E0F84"/>
    <w:rsid w:val="009F0948"/>
    <w:rsid w:val="00A20B5A"/>
    <w:rsid w:val="00A22DF0"/>
    <w:rsid w:val="00A508E3"/>
    <w:rsid w:val="00AB4247"/>
    <w:rsid w:val="00AD27C1"/>
    <w:rsid w:val="00B84BB4"/>
    <w:rsid w:val="00B968D8"/>
    <w:rsid w:val="00C732FA"/>
    <w:rsid w:val="00CC6E7D"/>
    <w:rsid w:val="00CD6772"/>
    <w:rsid w:val="00D42AD2"/>
    <w:rsid w:val="00D66614"/>
    <w:rsid w:val="00DA6B87"/>
    <w:rsid w:val="00DB1640"/>
    <w:rsid w:val="00DB6EA3"/>
    <w:rsid w:val="00DE552D"/>
    <w:rsid w:val="00DF2321"/>
    <w:rsid w:val="00E45EEB"/>
    <w:rsid w:val="00E5124A"/>
    <w:rsid w:val="00E92BC4"/>
    <w:rsid w:val="00EF1263"/>
    <w:rsid w:val="00F14FA4"/>
    <w:rsid w:val="00F27A53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8452-88E4-4CAD-AACC-6B268B2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styleId="af6">
    <w:name w:val="Grid Table Light"/>
    <w:basedOn w:val="a1"/>
    <w:uiPriority w:val="40"/>
    <w:rsid w:val="004C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B988CBD86E61C3F4F0D9F86044F3F09EEA673CA231B8E41N1J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A085CD8D4346C0D18DE815FEAF6C1DB988CBD86E61C3F4F0D9F86044F3F09EEA673C826N1J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Karavanova</cp:lastModifiedBy>
  <cp:revision>3</cp:revision>
  <cp:lastPrinted>2020-09-14T09:29:00Z</cp:lastPrinted>
  <dcterms:created xsi:type="dcterms:W3CDTF">2021-03-18T08:05:00Z</dcterms:created>
  <dcterms:modified xsi:type="dcterms:W3CDTF">2021-04-09T08:57:00Z</dcterms:modified>
</cp:coreProperties>
</file>