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91" w:rsidRDefault="00A34891" w:rsidP="0076728E">
      <w:pPr>
        <w:ind w:left="567" w:firstLine="709"/>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anchor distT="0" distB="0" distL="114300" distR="114300" simplePos="0" relativeHeight="251658240" behindDoc="1" locked="0" layoutInCell="1" allowOverlap="1" wp14:anchorId="3040E386" wp14:editId="446564D8">
            <wp:simplePos x="0" y="0"/>
            <wp:positionH relativeFrom="column">
              <wp:posOffset>635</wp:posOffset>
            </wp:positionH>
            <wp:positionV relativeFrom="paragraph">
              <wp:posOffset>-187325</wp:posOffset>
            </wp:positionV>
            <wp:extent cx="7073265" cy="10026015"/>
            <wp:effectExtent l="0" t="0" r="0" b="0"/>
            <wp:wrapTight wrapText="bothSides">
              <wp:wrapPolygon edited="0">
                <wp:start x="0" y="0"/>
                <wp:lineTo x="0" y="21547"/>
                <wp:lineTo x="21524" y="21547"/>
                <wp:lineTo x="21524" y="0"/>
                <wp:lineTo x="0" y="0"/>
              </wp:wrapPolygon>
            </wp:wrapTight>
            <wp:docPr id="1" name="Рисунок 1" descr="C:\Users\mig002\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002\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265" cy="10026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28E" w:rsidRPr="0076728E" w:rsidRDefault="0076728E" w:rsidP="0076728E">
      <w:pPr>
        <w:ind w:left="567" w:firstLine="709"/>
        <w:jc w:val="center"/>
        <w:rPr>
          <w:rFonts w:ascii="Times New Roman" w:hAnsi="Times New Roman" w:cs="Times New Roman"/>
          <w:b/>
          <w:sz w:val="28"/>
          <w:szCs w:val="28"/>
        </w:rPr>
      </w:pPr>
      <w:r w:rsidRPr="0076728E">
        <w:rPr>
          <w:rFonts w:ascii="Times New Roman" w:hAnsi="Times New Roman" w:cs="Times New Roman"/>
          <w:b/>
          <w:sz w:val="28"/>
          <w:szCs w:val="28"/>
        </w:rPr>
        <w:lastRenderedPageBreak/>
        <w:t>МЕТОДИЧЕСКИЕ УКАЗАНИЯ</w:t>
      </w:r>
    </w:p>
    <w:p w:rsidR="0076728E" w:rsidRPr="0076728E" w:rsidRDefault="0076728E" w:rsidP="0076728E">
      <w:pPr>
        <w:ind w:left="567" w:firstLine="709"/>
        <w:jc w:val="center"/>
        <w:rPr>
          <w:rFonts w:ascii="Times New Roman" w:hAnsi="Times New Roman" w:cs="Times New Roman"/>
          <w:sz w:val="28"/>
          <w:szCs w:val="28"/>
        </w:rPr>
      </w:pPr>
      <w:r w:rsidRPr="0076728E">
        <w:rPr>
          <w:rFonts w:ascii="Times New Roman" w:hAnsi="Times New Roman" w:cs="Times New Roman"/>
          <w:sz w:val="28"/>
          <w:szCs w:val="28"/>
        </w:rPr>
        <w:t xml:space="preserve">о приведении нормативных правовых актов в соответствие с исчерпывающим перечнем процедур в сфере жилищного строительства, утвержденным постановлением Правительства Российской Федерации от 30 апреля 2014г. № 403 </w:t>
      </w:r>
      <w:r w:rsidRPr="0076728E">
        <w:rPr>
          <w:rFonts w:ascii="Times New Roman" w:hAnsi="Times New Roman" w:cs="Times New Roman"/>
          <w:sz w:val="28"/>
          <w:szCs w:val="28"/>
        </w:rPr>
        <w:br/>
        <w:t>«Об исчерпывающем перечне процедур в сфере жилищного строительства»</w:t>
      </w:r>
    </w:p>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sz w:val="28"/>
          <w:szCs w:val="28"/>
        </w:rPr>
      </w:pPr>
      <w:proofErr w:type="gramStart"/>
      <w:r w:rsidRPr="0076728E">
        <w:rPr>
          <w:rFonts w:ascii="Times New Roman" w:hAnsi="Times New Roman" w:cs="Times New Roman"/>
          <w:sz w:val="28"/>
          <w:szCs w:val="28"/>
        </w:rPr>
        <w:t xml:space="preserve">В соответствии со статьей 2 Федерального закона от 20 апреля 2014 г. </w:t>
      </w:r>
      <w:r w:rsidRPr="0076728E">
        <w:rPr>
          <w:rFonts w:ascii="Times New Roman" w:hAnsi="Times New Roman" w:cs="Times New Roman"/>
          <w:sz w:val="28"/>
          <w:szCs w:val="28"/>
        </w:rPr>
        <w:br/>
        <w:t>№ 80-ФЗ «О внесении изменений в статьи 2 и 6 Градостроительного кодекса Российской Федерации» нормативные правовые акты субъектов Российской Федерации, муниципальные правовые акты подлежат приведению в соответствие с требованиями статьи 6 Градостроительного кодекса Российской Федерации не позднее чем в течение шести месяцев со дня утверждения Правительством Российской Федерации исчерпывающего</w:t>
      </w:r>
      <w:proofErr w:type="gramEnd"/>
      <w:r w:rsidRPr="0076728E">
        <w:rPr>
          <w:rFonts w:ascii="Times New Roman" w:hAnsi="Times New Roman" w:cs="Times New Roman"/>
          <w:sz w:val="28"/>
          <w:szCs w:val="28"/>
        </w:rPr>
        <w:t xml:space="preserve"> перечня процедур в соответствующей сфере строительства.</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В соответствии с частью 2 статьи 6 Градостроительного кодекса Российской Федерации Правительством Российской Федерации принято постановление </w:t>
      </w:r>
      <w:r w:rsidRPr="0076728E">
        <w:rPr>
          <w:rFonts w:ascii="Times New Roman" w:hAnsi="Times New Roman" w:cs="Times New Roman"/>
          <w:sz w:val="28"/>
          <w:szCs w:val="28"/>
        </w:rPr>
        <w:br/>
        <w:t>от 30 апреля 2014 г. № 403 «Об исчерпывающем перечне процедур в сфере жилищного строительства», которым утверждены:</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исчерпывающий перечень процедур в сфере жилищного строительства (далее – Исчерпывающий перечень);</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Правила внесения изменений в Исчерпывающий перечень;</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Правила ведения реестра описаний процедур, указанных в Исчерпывающем перечне.</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Указанное постановление вступило в силу 7 мая 2014 года, при этом в соответствии с пунктом 5 постановления Исчерпывающий перечень вступил в силу 7 ноября 2014 года. </w:t>
      </w:r>
    </w:p>
    <w:p w:rsidR="0076728E" w:rsidRPr="0076728E" w:rsidRDefault="0076728E" w:rsidP="0076728E">
      <w:pPr>
        <w:ind w:left="567" w:firstLine="709"/>
        <w:jc w:val="both"/>
        <w:rPr>
          <w:rFonts w:ascii="Times New Roman" w:hAnsi="Times New Roman" w:cs="Times New Roman"/>
          <w:sz w:val="28"/>
          <w:szCs w:val="28"/>
        </w:rPr>
      </w:pPr>
      <w:proofErr w:type="gramStart"/>
      <w:r w:rsidRPr="0076728E">
        <w:rPr>
          <w:rFonts w:ascii="Times New Roman" w:hAnsi="Times New Roman" w:cs="Times New Roman"/>
          <w:sz w:val="28"/>
          <w:szCs w:val="28"/>
        </w:rPr>
        <w:t>Также 7 ноября 2014 года на официальном на официальном сайте Минстроя России в сети «Интернет» размещен реестр описания процедур в сфере жилищного строительства (далее – Реестр описания процедур), который разработан в целях обеспечения единой правоприменительной практики при реализации административных процедур в сфере жилищного строительства.</w:t>
      </w:r>
      <w:proofErr w:type="gramEnd"/>
    </w:p>
    <w:p w:rsidR="0076728E" w:rsidRPr="0076728E" w:rsidRDefault="0076728E" w:rsidP="0076728E">
      <w:pPr>
        <w:ind w:left="567" w:firstLine="709"/>
        <w:jc w:val="both"/>
        <w:rPr>
          <w:rFonts w:ascii="Times New Roman" w:hAnsi="Times New Roman" w:cs="Times New Roman"/>
          <w:sz w:val="28"/>
          <w:szCs w:val="28"/>
        </w:rPr>
      </w:pPr>
      <w:proofErr w:type="gramStart"/>
      <w:r w:rsidRPr="0076728E">
        <w:rPr>
          <w:rFonts w:ascii="Times New Roman" w:hAnsi="Times New Roman" w:cs="Times New Roman"/>
          <w:sz w:val="28"/>
          <w:szCs w:val="28"/>
        </w:rPr>
        <w:t>В соответствии с частью 3 статьи 6 Градостроительного кодекса Российской Федерации с 7 ноября 2014 года не допускается установление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обязанности осуществления процедур, не предусмотренных Исчерпывающим перечнем в отношении физических и юридических лиц, являющихся субъектами градостроительных отношений, в целях подготовки такими физическими и юридическими</w:t>
      </w:r>
      <w:proofErr w:type="gramEnd"/>
      <w:r w:rsidRPr="0076728E">
        <w:rPr>
          <w:rFonts w:ascii="Times New Roman" w:hAnsi="Times New Roman" w:cs="Times New Roman"/>
          <w:sz w:val="28"/>
          <w:szCs w:val="28"/>
        </w:rPr>
        <w:t xml:space="preserve">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Вместе с тем, опросы застройщиков жилья показывают, что незаконное установление обязанностей осуществления процедур, не предусмотренных Исчерпывающим перечнем, в отношении физических и юридических лиц, </w:t>
      </w:r>
      <w:r w:rsidRPr="0076728E">
        <w:rPr>
          <w:rFonts w:ascii="Times New Roman" w:hAnsi="Times New Roman" w:cs="Times New Roman"/>
          <w:sz w:val="28"/>
          <w:szCs w:val="28"/>
        </w:rPr>
        <w:lastRenderedPageBreak/>
        <w:t xml:space="preserve">являющихся субъектами градостроительных отношений, по-прежнему имеет место. Как правило, причиной этого является </w:t>
      </w:r>
      <w:proofErr w:type="gramStart"/>
      <w:r w:rsidRPr="0076728E">
        <w:rPr>
          <w:rFonts w:ascii="Times New Roman" w:hAnsi="Times New Roman" w:cs="Times New Roman"/>
          <w:sz w:val="28"/>
          <w:szCs w:val="28"/>
        </w:rPr>
        <w:t>не соответствие</w:t>
      </w:r>
      <w:proofErr w:type="gramEnd"/>
      <w:r w:rsidRPr="0076728E">
        <w:rPr>
          <w:rFonts w:ascii="Times New Roman" w:hAnsi="Times New Roman" w:cs="Times New Roman"/>
          <w:sz w:val="28"/>
          <w:szCs w:val="28"/>
        </w:rPr>
        <w:t xml:space="preserve"> содержания нормативных правовых актов субъектов Российской Федерации, муниципальных правовых актов требованиям статьи 6 Градостроительного кодекса Российской Федерации.</w:t>
      </w:r>
    </w:p>
    <w:p w:rsidR="0076728E" w:rsidRPr="0076728E" w:rsidRDefault="0076728E" w:rsidP="0076728E">
      <w:pPr>
        <w:ind w:left="567" w:firstLine="709"/>
        <w:jc w:val="both"/>
        <w:rPr>
          <w:rFonts w:ascii="Times New Roman" w:hAnsi="Times New Roman" w:cs="Times New Roman"/>
          <w:sz w:val="28"/>
          <w:szCs w:val="28"/>
        </w:rPr>
      </w:pPr>
      <w:proofErr w:type="gramStart"/>
      <w:r w:rsidRPr="0076728E">
        <w:rPr>
          <w:rFonts w:ascii="Times New Roman" w:hAnsi="Times New Roman" w:cs="Times New Roman"/>
          <w:sz w:val="28"/>
          <w:szCs w:val="28"/>
        </w:rPr>
        <w:t>Настоящие Методические указания направлены на оказание методической помощи органам государственной власти субъектов Российской Федерации в обеспечении исполнения требований статьи 2 Федерального закона от 20 апреля 2014 г. № 80-ФЗ «О внесении изменений в статьи 2 и 6 Градостроительного кодекса Российской Федерации».</w:t>
      </w:r>
      <w:proofErr w:type="gramEnd"/>
    </w:p>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pStyle w:val="ad"/>
        <w:numPr>
          <w:ilvl w:val="0"/>
          <w:numId w:val="1"/>
        </w:numPr>
        <w:ind w:left="567" w:firstLine="709"/>
        <w:rPr>
          <w:b/>
        </w:rPr>
      </w:pPr>
      <w:r w:rsidRPr="0076728E">
        <w:rPr>
          <w:b/>
        </w:rPr>
        <w:t>Приведение в соответствие с Исчерпывающим перечнем муниципальных правовых актов в сфере градостроительной деятельности, устанавливающих процедуры, включенные в Исчерпывающий перечень, и порядок их проведения.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Согласно части 1.1 статьи 6.1 Градостроительного кодекса Российской Федерации (далее – Кодекс) функции по осуществлению полномочий в области </w:t>
      </w:r>
      <w:proofErr w:type="gramStart"/>
      <w:r w:rsidRPr="0076728E">
        <w:rPr>
          <w:rFonts w:ascii="Times New Roman" w:hAnsi="Times New Roman" w:cs="Times New Roman"/>
          <w:sz w:val="28"/>
          <w:szCs w:val="28"/>
        </w:rPr>
        <w:t>контроля за</w:t>
      </w:r>
      <w:proofErr w:type="gramEnd"/>
      <w:r w:rsidRPr="0076728E">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 переданы Российской Федерацией органам государственной власти субъектов Российской Федерации.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В соответствии с частью 1 статьи 4 Кодекса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Статьей 8 Кодекса определены полномочия органов местного самоуправления в области градостроительной деятельности, к которым в том числе относятся: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утверждение подготовленной документации по планировке территории (процедуры Исчерпывающего перечня № 5 и № 11);</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(процедуры Исчерпывающего перечня № 59 и № 127).</w:t>
      </w:r>
    </w:p>
    <w:p w:rsid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В соответствии с отдельными положениями Кодекса к полномочиям органа местного самоуправления в области градостроительной деятельности также относится осуществление следующих процедур, перечисленных в таблице, приведенной ниже:</w:t>
      </w: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Default="00611E1D" w:rsidP="0076728E">
      <w:pPr>
        <w:ind w:left="567" w:firstLine="709"/>
        <w:jc w:val="both"/>
        <w:rPr>
          <w:rFonts w:ascii="Times New Roman" w:hAnsi="Times New Roman" w:cs="Times New Roman"/>
          <w:sz w:val="28"/>
          <w:szCs w:val="28"/>
        </w:rPr>
      </w:pPr>
    </w:p>
    <w:p w:rsidR="00611E1D" w:rsidRPr="0076728E" w:rsidRDefault="00611E1D"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sz w:val="28"/>
          <w:szCs w:val="28"/>
        </w:rPr>
      </w:pPr>
    </w:p>
    <w:tbl>
      <w:tblPr>
        <w:tblStyle w:val="a3"/>
        <w:tblW w:w="0" w:type="auto"/>
        <w:tblInd w:w="675" w:type="dxa"/>
        <w:tblLook w:val="04A0" w:firstRow="1" w:lastRow="0" w:firstColumn="1" w:lastColumn="0" w:noHBand="0" w:noVBand="1"/>
      </w:tblPr>
      <w:tblGrid>
        <w:gridCol w:w="3338"/>
        <w:gridCol w:w="2543"/>
        <w:gridCol w:w="3924"/>
      </w:tblGrid>
      <w:tr w:rsidR="0076728E" w:rsidRPr="0076728E" w:rsidTr="00611E1D">
        <w:tc>
          <w:tcPr>
            <w:tcW w:w="3338" w:type="dxa"/>
          </w:tcPr>
          <w:p w:rsidR="0076728E" w:rsidRPr="0076728E" w:rsidRDefault="0076728E" w:rsidP="00611E1D">
            <w:pPr>
              <w:ind w:left="34"/>
              <w:jc w:val="both"/>
              <w:rPr>
                <w:rFonts w:ascii="Times New Roman" w:hAnsi="Times New Roman" w:cs="Times New Roman"/>
                <w:b/>
                <w:sz w:val="28"/>
                <w:szCs w:val="28"/>
              </w:rPr>
            </w:pPr>
            <w:r w:rsidRPr="0076728E">
              <w:rPr>
                <w:rFonts w:ascii="Times New Roman" w:hAnsi="Times New Roman" w:cs="Times New Roman"/>
                <w:b/>
                <w:sz w:val="28"/>
                <w:szCs w:val="28"/>
              </w:rPr>
              <w:t>Наименование полномочия</w:t>
            </w:r>
          </w:p>
        </w:tc>
        <w:tc>
          <w:tcPr>
            <w:tcW w:w="2543" w:type="dxa"/>
          </w:tcPr>
          <w:p w:rsidR="0076728E" w:rsidRPr="0076728E" w:rsidRDefault="0076728E" w:rsidP="00611E1D">
            <w:pPr>
              <w:ind w:left="34"/>
              <w:jc w:val="both"/>
              <w:rPr>
                <w:rFonts w:ascii="Times New Roman" w:hAnsi="Times New Roman" w:cs="Times New Roman"/>
                <w:b/>
                <w:sz w:val="28"/>
                <w:szCs w:val="28"/>
              </w:rPr>
            </w:pPr>
            <w:r w:rsidRPr="0076728E">
              <w:rPr>
                <w:rFonts w:ascii="Times New Roman" w:hAnsi="Times New Roman" w:cs="Times New Roman"/>
                <w:b/>
                <w:sz w:val="28"/>
                <w:szCs w:val="28"/>
              </w:rPr>
              <w:t>Номер процедуры в соответствии с Исчерпывающим перечнем</w:t>
            </w:r>
          </w:p>
        </w:tc>
        <w:tc>
          <w:tcPr>
            <w:tcW w:w="3924" w:type="dxa"/>
          </w:tcPr>
          <w:p w:rsidR="0076728E" w:rsidRPr="0076728E" w:rsidRDefault="0076728E" w:rsidP="00611E1D">
            <w:pPr>
              <w:ind w:left="34"/>
              <w:jc w:val="both"/>
              <w:rPr>
                <w:rFonts w:ascii="Times New Roman" w:hAnsi="Times New Roman" w:cs="Times New Roman"/>
                <w:b/>
                <w:sz w:val="28"/>
                <w:szCs w:val="28"/>
              </w:rPr>
            </w:pPr>
            <w:r w:rsidRPr="0076728E">
              <w:rPr>
                <w:rFonts w:ascii="Times New Roman" w:hAnsi="Times New Roman" w:cs="Times New Roman"/>
                <w:b/>
                <w:sz w:val="28"/>
                <w:szCs w:val="28"/>
              </w:rPr>
              <w:t>Статья, часть Кодекса, устанавливающая полномочие органа местного самоуправления</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организация аукциона на право заключить договор о развитии застроенной территории</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7, 8</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 xml:space="preserve">статья 46.3 </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заключение договора о развитии застроенной территории</w:t>
            </w:r>
          </w:p>
          <w:p w:rsidR="0076728E" w:rsidRPr="0076728E" w:rsidRDefault="0076728E" w:rsidP="00A34891">
            <w:pPr>
              <w:ind w:left="34"/>
              <w:rPr>
                <w:rFonts w:ascii="Times New Roman" w:hAnsi="Times New Roman" w:cs="Times New Roman"/>
                <w:sz w:val="28"/>
                <w:szCs w:val="28"/>
              </w:rPr>
            </w:pP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9</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статьи 46.2, часть 2</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23</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40, часть 6</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предоставление разрешения на условно разрешенный вид использования земельного участка</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24</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39, часть 9</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принятие решения о подготовке документации по планировке территории</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4, 10</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46, часть 1</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предоставление градостроительных планов земельных участков по обращениям физических и юридических лиц</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27</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46, часть 17</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продление срока действия разрешения на строительство</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60</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51, часть 20</w:t>
            </w:r>
          </w:p>
        </w:tc>
      </w:tr>
      <w:tr w:rsidR="0076728E" w:rsidRPr="0076728E" w:rsidTr="00611E1D">
        <w:tc>
          <w:tcPr>
            <w:tcW w:w="3338" w:type="dxa"/>
          </w:tcPr>
          <w:p w:rsidR="0076728E" w:rsidRPr="0076728E" w:rsidRDefault="0076728E" w:rsidP="00A34891">
            <w:pPr>
              <w:ind w:left="34"/>
              <w:rPr>
                <w:rFonts w:ascii="Times New Roman" w:hAnsi="Times New Roman" w:cs="Times New Roman"/>
                <w:sz w:val="28"/>
                <w:szCs w:val="28"/>
              </w:rPr>
            </w:pPr>
            <w:r w:rsidRPr="0076728E">
              <w:rPr>
                <w:rFonts w:ascii="Times New Roman" w:hAnsi="Times New Roman" w:cs="Times New Roman"/>
                <w:sz w:val="28"/>
                <w:szCs w:val="28"/>
              </w:rPr>
              <w:t>внесение изменений в разрешение на строительство</w:t>
            </w:r>
          </w:p>
        </w:tc>
        <w:tc>
          <w:tcPr>
            <w:tcW w:w="2543"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61</w:t>
            </w:r>
          </w:p>
        </w:tc>
        <w:tc>
          <w:tcPr>
            <w:tcW w:w="3924" w:type="dxa"/>
          </w:tcPr>
          <w:p w:rsidR="0076728E" w:rsidRPr="0076728E" w:rsidRDefault="0076728E" w:rsidP="00611E1D">
            <w:pPr>
              <w:ind w:left="34"/>
              <w:jc w:val="both"/>
              <w:rPr>
                <w:rFonts w:ascii="Times New Roman" w:hAnsi="Times New Roman" w:cs="Times New Roman"/>
                <w:sz w:val="28"/>
                <w:szCs w:val="28"/>
              </w:rPr>
            </w:pPr>
            <w:r w:rsidRPr="0076728E">
              <w:rPr>
                <w:rFonts w:ascii="Times New Roman" w:hAnsi="Times New Roman" w:cs="Times New Roman"/>
                <w:sz w:val="28"/>
                <w:szCs w:val="28"/>
              </w:rPr>
              <w:t>статья 51, часть 21.14</w:t>
            </w:r>
          </w:p>
        </w:tc>
      </w:tr>
    </w:tbl>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Таким образом, органы государственной власти субъектов Российской Федерации обязаны в рамках реализации переданных полномочий осуществлять </w:t>
      </w:r>
      <w:proofErr w:type="gramStart"/>
      <w:r w:rsidRPr="0076728E">
        <w:rPr>
          <w:rFonts w:ascii="Times New Roman" w:hAnsi="Times New Roman" w:cs="Times New Roman"/>
          <w:sz w:val="28"/>
          <w:szCs w:val="28"/>
        </w:rPr>
        <w:t>контроль за</w:t>
      </w:r>
      <w:proofErr w:type="gramEnd"/>
      <w:r w:rsidRPr="0076728E">
        <w:rPr>
          <w:rFonts w:ascii="Times New Roman" w:hAnsi="Times New Roman" w:cs="Times New Roman"/>
          <w:sz w:val="28"/>
          <w:szCs w:val="28"/>
        </w:rPr>
        <w:t xml:space="preserve"> соблюдением органами местного самоуправления законодательства о </w:t>
      </w:r>
      <w:r w:rsidRPr="0076728E">
        <w:rPr>
          <w:rFonts w:ascii="Times New Roman" w:hAnsi="Times New Roman" w:cs="Times New Roman"/>
          <w:sz w:val="28"/>
          <w:szCs w:val="28"/>
        </w:rPr>
        <w:lastRenderedPageBreak/>
        <w:t>градостроительной деятельности, в том числе в части соответствия Исчерпывающему перечню муниципальных правовых актов, определяющих порядок проведения следующих процедур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 Принятие решения о подготовке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(процедура № 4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2) Принятие решения об утверждении документации по планировке территории в границах земельного участка, в отношении которого заключен договор аренды земельного участка для его комплексного освоения в целях жилищного строительства (процедура № 5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3) Допуск заявителя к участию в аукционе на право заключить договор о развитии застроенной территории (процедура № 7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4) Подписание протокола о результатах аукциона на право заключить договор о развитии застроенной территории (процедура № 8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5) Заключение договора о развитии застроенной территории (процедура № 9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6) Принятие решения о подготовке документации по планировке застроенной территории, в отношении которой принято решение о развитии (процедура № 10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7) Принятие решения об утверждении документации по планировке застроенной территории, в отношении которой принято решение о развитии (процедура № 11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8) Предоставление разрешения на отклонение от предельных параметров разрешенного строительства (процедура № 23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9) Предоставление разрешения на условно разрешенный вид использования земельного участка (процедура № 24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10) Предоставление градостроительных планов земельных участков по обращениям физических и юридических лиц (процедура № 27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11) Предоставление разрешения на строительство (процедура № 59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12) Продление срока действия разрешения на строительство (процедура </w:t>
      </w:r>
      <w:r w:rsidRPr="0076728E">
        <w:rPr>
          <w:rFonts w:ascii="Times New Roman" w:hAnsi="Times New Roman" w:cs="Times New Roman"/>
          <w:sz w:val="28"/>
          <w:szCs w:val="28"/>
        </w:rPr>
        <w:br/>
        <w:t>№ 60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13) Внесение изменений в разрешение на строительство (процедура № 61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14) Предоставление разрешения на ввод объекта в эксплуатацию (процедура № 127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Кроме того, в сферу </w:t>
      </w:r>
      <w:proofErr w:type="gramStart"/>
      <w:r w:rsidRPr="0076728E">
        <w:rPr>
          <w:rFonts w:ascii="Times New Roman" w:hAnsi="Times New Roman" w:cs="Times New Roman"/>
          <w:sz w:val="28"/>
          <w:szCs w:val="28"/>
        </w:rPr>
        <w:t>контроля органов государственной власти субъектов Российской Федерации</w:t>
      </w:r>
      <w:proofErr w:type="gramEnd"/>
      <w:r w:rsidRPr="0076728E">
        <w:rPr>
          <w:rFonts w:ascii="Times New Roman" w:hAnsi="Times New Roman" w:cs="Times New Roman"/>
          <w:sz w:val="28"/>
          <w:szCs w:val="28"/>
        </w:rPr>
        <w:t xml:space="preserve"> за соблюдением органами местного самоуправления законодательства о градостроительной деятельности могут быть включены муниципальные правовые акты, устанавливающие процедуры № 130-134 Исчерпывающего перечня, а также порядок их прохождения. К таким процедурам относятся </w:t>
      </w:r>
      <w:proofErr w:type="gramStart"/>
      <w:r w:rsidRPr="0076728E">
        <w:rPr>
          <w:rFonts w:ascii="Times New Roman" w:hAnsi="Times New Roman" w:cs="Times New Roman"/>
          <w:sz w:val="28"/>
          <w:szCs w:val="28"/>
        </w:rPr>
        <w:t>следующие</w:t>
      </w:r>
      <w:proofErr w:type="gramEnd"/>
      <w:r w:rsidRPr="0076728E">
        <w:rPr>
          <w:rFonts w:ascii="Times New Roman" w:hAnsi="Times New Roman" w:cs="Times New Roman"/>
          <w:sz w:val="28"/>
          <w:szCs w:val="28"/>
        </w:rPr>
        <w:t>:</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Предоставление решения о согласовании архитектурно-</w:t>
      </w:r>
      <w:r w:rsidRPr="0076728E">
        <w:rPr>
          <w:rFonts w:ascii="Times New Roman" w:hAnsi="Times New Roman" w:cs="Times New Roman"/>
          <w:sz w:val="28"/>
          <w:szCs w:val="28"/>
        </w:rPr>
        <w:lastRenderedPageBreak/>
        <w:t>градостроительного облика объекта (процедура № 130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Предоставление порубочного билета и (или) разрешения на пересадку деревьев и кустарников (процедура № 131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Предоставление разрешения на осуществление земляных работ (процедура № 132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(процедура № 133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 (процедура № 134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При проверке муниципальных правовых актов, устанавливающих процедуры № 130-134 Исчерпывающего перечня и (или) порядок их проведения следует отмечать наличие точного соответствия наименований процедур, указанных в муниципальных правовых актах, с наименованиями, указанными в Исчерпывающем перечне. Также следует учитывать, что указанные процедуры могут быть установлены только муниципальным правовым актом представительного органа местного самоуправления.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этом необходимо учитывать, что в случае, если нормативными правовыми актами не предусмотрены процедуры, включенные в Исчерпывающий перечень, дополнительно их вводить не рекомендуется.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Порядок проведения проверок при осуществлении государственного </w:t>
      </w:r>
      <w:proofErr w:type="gramStart"/>
      <w:r w:rsidRPr="0076728E">
        <w:rPr>
          <w:rFonts w:ascii="Times New Roman" w:hAnsi="Times New Roman" w:cs="Times New Roman"/>
          <w:sz w:val="28"/>
          <w:szCs w:val="28"/>
        </w:rPr>
        <w:t>контроля за</w:t>
      </w:r>
      <w:proofErr w:type="gramEnd"/>
      <w:r w:rsidRPr="0076728E">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 устанавливается нормативными правовыми актами органов государственной власти субъектов Российской Федерации с соблюдением требований статьи 77 Федерального закона от 6 октября 2003 г. </w:t>
      </w:r>
      <w:r w:rsidRPr="0076728E">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При этом фиксация допущенных нарушений и обеспечение устранения нарушений должно осуществляться в соответствии с положениями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При проведении проверок с целью всестороннего исследования соответствия муниципальных правовых актов, устанавливающих процедуры, включенные в Исчерпывающий перечень, и порядок их проведения, рекомендуется использовать форму контрольного листа, указанную в приложении к настоящим Методическим указаниям (далее – Контрольный лист). </w:t>
      </w:r>
      <w:proofErr w:type="gramStart"/>
      <w:r w:rsidRPr="0076728E">
        <w:rPr>
          <w:rFonts w:ascii="Times New Roman" w:hAnsi="Times New Roman" w:cs="Times New Roman"/>
          <w:sz w:val="28"/>
          <w:szCs w:val="28"/>
        </w:rPr>
        <w:t xml:space="preserve">При заполнении Контрольного листа необходимо использовать информацию, содержащуюся в Реестре описаний процедур, который размещен на официальном сайте Минстроя России, а также сведения, содержащиеся в административных регламентах предоставления муниципальных услуг, утверждение которых является обязательным в соответствии со статьей 6 Федерального закона от 6 октября 2003 г. № 131-ФЗ </w:t>
      </w:r>
      <w:r w:rsidRPr="0076728E">
        <w:rPr>
          <w:rFonts w:ascii="Times New Roman" w:hAnsi="Times New Roman" w:cs="Times New Roman"/>
          <w:sz w:val="28"/>
          <w:szCs w:val="28"/>
        </w:rPr>
        <w:br/>
        <w:t>«Об общих принципах организации местного самоуправления в Российской Федерации».</w:t>
      </w:r>
      <w:proofErr w:type="gramEnd"/>
      <w:r w:rsidRPr="0076728E">
        <w:rPr>
          <w:rFonts w:ascii="Times New Roman" w:hAnsi="Times New Roman" w:cs="Times New Roman"/>
          <w:sz w:val="28"/>
          <w:szCs w:val="28"/>
        </w:rPr>
        <w:t xml:space="preserve"> Следует учитывать, что в соответствии с административными </w:t>
      </w:r>
      <w:r w:rsidRPr="0076728E">
        <w:rPr>
          <w:rFonts w:ascii="Times New Roman" w:hAnsi="Times New Roman" w:cs="Times New Roman"/>
          <w:sz w:val="28"/>
          <w:szCs w:val="28"/>
        </w:rPr>
        <w:lastRenderedPageBreak/>
        <w:t>регламентами осуществляется предоставление процедур, являющихся муниципальными услугами.</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проведении проверок особое внимание необходимо уделять:</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исследованию перечня документов, который заявитель обязан предоставить для проведения процедуры;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установленных требований к таким документам (по форме, обязательности подачи, количеству экземпляров, необходимости предоставления оригиналов или нотариальных копий).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Установление в муниципальном правовом акте требования предоставления дополнительных документов, по сравнению </w:t>
      </w:r>
      <w:proofErr w:type="gramStart"/>
      <w:r w:rsidRPr="0076728E">
        <w:rPr>
          <w:rFonts w:ascii="Times New Roman" w:hAnsi="Times New Roman" w:cs="Times New Roman"/>
          <w:sz w:val="28"/>
          <w:szCs w:val="28"/>
        </w:rPr>
        <w:t>с</w:t>
      </w:r>
      <w:proofErr w:type="gramEnd"/>
      <w:r w:rsidRPr="0076728E">
        <w:rPr>
          <w:rFonts w:ascii="Times New Roman" w:hAnsi="Times New Roman" w:cs="Times New Roman"/>
          <w:sz w:val="28"/>
          <w:szCs w:val="28"/>
        </w:rPr>
        <w:t xml:space="preserve"> </w:t>
      </w:r>
      <w:proofErr w:type="gramStart"/>
      <w:r w:rsidRPr="0076728E">
        <w:rPr>
          <w:rFonts w:ascii="Times New Roman" w:hAnsi="Times New Roman" w:cs="Times New Roman"/>
          <w:sz w:val="28"/>
          <w:szCs w:val="28"/>
        </w:rPr>
        <w:t>указанными</w:t>
      </w:r>
      <w:proofErr w:type="gramEnd"/>
      <w:r w:rsidRPr="0076728E">
        <w:rPr>
          <w:rFonts w:ascii="Times New Roman" w:hAnsi="Times New Roman" w:cs="Times New Roman"/>
          <w:sz w:val="28"/>
          <w:szCs w:val="28"/>
        </w:rPr>
        <w:t xml:space="preserve"> в Реестре описаний процедур, является установлением обязанности осуществления процедур, не предусмотренных Исчерпывающим перечнем, что запрещено частью 3 статьи 6 Кодекса.</w:t>
      </w:r>
    </w:p>
    <w:p w:rsidR="0076728E" w:rsidRPr="0076728E" w:rsidRDefault="0076728E" w:rsidP="0076728E">
      <w:pPr>
        <w:ind w:left="567" w:firstLine="709"/>
        <w:jc w:val="both"/>
        <w:rPr>
          <w:rFonts w:ascii="Times New Roman" w:hAnsi="Times New Roman" w:cs="Times New Roman"/>
          <w:sz w:val="28"/>
          <w:szCs w:val="28"/>
        </w:rPr>
      </w:pPr>
      <w:proofErr w:type="gramStart"/>
      <w:r w:rsidRPr="0076728E">
        <w:rPr>
          <w:rFonts w:ascii="Times New Roman" w:hAnsi="Times New Roman" w:cs="Times New Roman"/>
          <w:sz w:val="28"/>
          <w:szCs w:val="28"/>
        </w:rPr>
        <w:t>При определении сферы проверки необходимо учитывать наличие перераспределения полномочий между органами государственной власти субъекта Российской Федерации и органами местного самоуправления, установленное законом субъекта Российской Федерации в порядке, предусмотренном частью 1.2 статьи 17 Федерального закона от 6 октября 2003 г. № 131-ФЗ «Об общих принципах организации местного самоуправления в Российской Федерации» (при наличии такого закона субъекта Российской Федерации).</w:t>
      </w:r>
      <w:proofErr w:type="gramEnd"/>
      <w:r w:rsidRPr="0076728E">
        <w:rPr>
          <w:rFonts w:ascii="Times New Roman" w:hAnsi="Times New Roman" w:cs="Times New Roman"/>
          <w:sz w:val="28"/>
          <w:szCs w:val="28"/>
        </w:rPr>
        <w:t xml:space="preserve"> Если полномочие по осуществлению процедуры таким законом передано органу государственной власти субъекта Российской Федерации, то муниципальный правовой акт, устанавливающий порядок проведения такой процедуры, подлежит отмене.</w:t>
      </w:r>
    </w:p>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b/>
          <w:sz w:val="28"/>
          <w:szCs w:val="28"/>
        </w:rPr>
      </w:pPr>
      <w:r w:rsidRPr="0076728E">
        <w:rPr>
          <w:rFonts w:ascii="Times New Roman" w:hAnsi="Times New Roman" w:cs="Times New Roman"/>
          <w:b/>
          <w:sz w:val="28"/>
          <w:szCs w:val="28"/>
        </w:rPr>
        <w:t>2. Приведение в соответствие с Исчерпывающим перечнем процедур муниципальных правовых актов в сфере земельного законодательства, устанавливающих процедуры, включенные в Исчерпывающий перечень, и порядок их проведения.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Земельным законодательством определены следующие процедуры, включенные в Исчерпывающий перечень, осуществляемые органами местного самоуправления</w:t>
      </w:r>
      <w:r w:rsidRPr="0076728E">
        <w:rPr>
          <w:rStyle w:val="ac"/>
          <w:rFonts w:ascii="Times New Roman" w:hAnsi="Times New Roman" w:cs="Times New Roman"/>
          <w:sz w:val="28"/>
          <w:szCs w:val="28"/>
        </w:rPr>
        <w:footnoteReference w:id="1"/>
      </w:r>
      <w:r w:rsidRPr="0076728E">
        <w:rPr>
          <w:rFonts w:ascii="Times New Roman" w:hAnsi="Times New Roman" w:cs="Times New Roman"/>
          <w:sz w:val="28"/>
          <w:szCs w:val="28"/>
        </w:rPr>
        <w:t>:</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w:t>
      </w:r>
      <w:r w:rsidRPr="0076728E">
        <w:rPr>
          <w:rFonts w:ascii="Times New Roman" w:hAnsi="Times New Roman" w:cs="Times New Roman"/>
          <w:sz w:val="28"/>
          <w:szCs w:val="28"/>
        </w:rPr>
        <w:t>(процедура № 1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w:t>
      </w:r>
      <w:r w:rsidRPr="0076728E">
        <w:rPr>
          <w:rFonts w:ascii="Times New Roman" w:hAnsi="Times New Roman" w:cs="Times New Roman"/>
          <w:sz w:val="28"/>
          <w:szCs w:val="28"/>
        </w:rPr>
        <w:t>(процедура № 2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lastRenderedPageBreak/>
        <w:t xml:space="preserve">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w:t>
      </w:r>
      <w:r w:rsidRPr="0076728E">
        <w:rPr>
          <w:rFonts w:ascii="Times New Roman" w:hAnsi="Times New Roman" w:cs="Times New Roman"/>
          <w:sz w:val="28"/>
          <w:szCs w:val="28"/>
        </w:rPr>
        <w:t>(процедура № 3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proofErr w:type="gramStart"/>
      <w:r w:rsidRPr="0076728E">
        <w:rPr>
          <w:rFonts w:ascii="Times New Roman" w:eastAsiaTheme="minorHAnsi" w:hAnsi="Times New Roman" w:cs="Times New Roman"/>
          <w:sz w:val="28"/>
          <w:szCs w:val="28"/>
          <w:lang w:eastAsia="en-US"/>
        </w:rPr>
        <w:t xml:space="preserve">4)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 </w:t>
      </w:r>
      <w:r w:rsidRPr="0076728E">
        <w:rPr>
          <w:rFonts w:ascii="Times New Roman" w:hAnsi="Times New Roman" w:cs="Times New Roman"/>
          <w:sz w:val="28"/>
          <w:szCs w:val="28"/>
        </w:rPr>
        <w:t>(процедура № 6 Исчерпывающего перечня);</w:t>
      </w:r>
      <w:proofErr w:type="gramEnd"/>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5)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 </w:t>
      </w:r>
      <w:r w:rsidRPr="0076728E">
        <w:rPr>
          <w:rFonts w:ascii="Times New Roman" w:hAnsi="Times New Roman" w:cs="Times New Roman"/>
          <w:sz w:val="28"/>
          <w:szCs w:val="28"/>
        </w:rPr>
        <w:t>(процедура № 12 Исчерпывающего перечня);</w:t>
      </w:r>
    </w:p>
    <w:p w:rsidR="0076728E" w:rsidRPr="0076728E" w:rsidRDefault="0076728E" w:rsidP="0076728E">
      <w:pPr>
        <w:pStyle w:val="ConsPlusNormal"/>
        <w:ind w:left="567" w:firstLine="709"/>
        <w:jc w:val="both"/>
        <w:rPr>
          <w:rFonts w:ascii="Times New Roman" w:hAnsi="Times New Roman" w:cs="Times New Roman"/>
          <w:sz w:val="28"/>
          <w:szCs w:val="28"/>
        </w:rPr>
      </w:pPr>
      <w:r w:rsidRPr="0076728E">
        <w:rPr>
          <w:rFonts w:ascii="Times New Roman" w:eastAsiaTheme="minorHAnsi" w:hAnsi="Times New Roman" w:cs="Times New Roman"/>
          <w:sz w:val="28"/>
          <w:szCs w:val="28"/>
          <w:lang w:eastAsia="en-US"/>
        </w:rPr>
        <w:t xml:space="preserve">6)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w:t>
      </w:r>
      <w:proofErr w:type="gramStart"/>
      <w:r w:rsidRPr="0076728E">
        <w:rPr>
          <w:rFonts w:ascii="Times New Roman" w:eastAsiaTheme="minorHAnsi" w:hAnsi="Times New Roman" w:cs="Times New Roman"/>
          <w:sz w:val="28"/>
          <w:szCs w:val="28"/>
          <w:lang w:eastAsia="en-US"/>
        </w:rPr>
        <w:t>собственность</w:t>
      </w:r>
      <w:proofErr w:type="gramEnd"/>
      <w:r w:rsidRPr="0076728E">
        <w:rPr>
          <w:rFonts w:ascii="Times New Roman" w:eastAsiaTheme="minorHAnsi" w:hAnsi="Times New Roman" w:cs="Times New Roman"/>
          <w:sz w:val="28"/>
          <w:szCs w:val="28"/>
          <w:lang w:eastAsia="en-US"/>
        </w:rPr>
        <w:t xml:space="preserve"> на который не разграничена и который не предоставлен в пользование и (или) во владение гражданам и юридическим лицам </w:t>
      </w:r>
      <w:r w:rsidRPr="0076728E">
        <w:rPr>
          <w:rFonts w:ascii="Times New Roman" w:hAnsi="Times New Roman" w:cs="Times New Roman"/>
          <w:sz w:val="28"/>
          <w:szCs w:val="28"/>
        </w:rPr>
        <w:t>(процедура № 13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7) 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w:t>
      </w:r>
      <w:r w:rsidRPr="0076728E">
        <w:rPr>
          <w:rFonts w:ascii="Times New Roman" w:hAnsi="Times New Roman" w:cs="Times New Roman"/>
          <w:sz w:val="28"/>
          <w:szCs w:val="28"/>
        </w:rPr>
        <w:t>(процедура № 14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8)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w:t>
      </w:r>
      <w:r w:rsidRPr="0076728E">
        <w:rPr>
          <w:rFonts w:ascii="Times New Roman" w:hAnsi="Times New Roman" w:cs="Times New Roman"/>
          <w:sz w:val="28"/>
          <w:szCs w:val="28"/>
        </w:rPr>
        <w:t>(процедура № 15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9)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 </w:t>
      </w:r>
      <w:r w:rsidRPr="0076728E">
        <w:rPr>
          <w:rFonts w:ascii="Times New Roman" w:hAnsi="Times New Roman" w:cs="Times New Roman"/>
          <w:sz w:val="28"/>
          <w:szCs w:val="28"/>
        </w:rPr>
        <w:t xml:space="preserve">(процедура </w:t>
      </w:r>
      <w:r w:rsidRPr="0076728E">
        <w:rPr>
          <w:rFonts w:ascii="Times New Roman" w:hAnsi="Times New Roman" w:cs="Times New Roman"/>
          <w:sz w:val="28"/>
          <w:szCs w:val="28"/>
        </w:rPr>
        <w:br/>
        <w:t>№ 16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10) Принятие решения о предоставлении земельного участка для индивидуального жилищного строительства в аренду гражданину </w:t>
      </w:r>
      <w:r w:rsidRPr="0076728E">
        <w:rPr>
          <w:rFonts w:ascii="Times New Roman" w:hAnsi="Times New Roman" w:cs="Times New Roman"/>
          <w:sz w:val="28"/>
          <w:szCs w:val="28"/>
        </w:rPr>
        <w:t>(процедура № 17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11) Заключение договора аренды земельного участка, предоставленного для индивидуального жилищного строительства гражданину </w:t>
      </w:r>
      <w:r w:rsidRPr="0076728E">
        <w:rPr>
          <w:rFonts w:ascii="Times New Roman" w:hAnsi="Times New Roman" w:cs="Times New Roman"/>
          <w:sz w:val="28"/>
          <w:szCs w:val="28"/>
        </w:rPr>
        <w:t>(процедура № 18 Исчерпывающего перечня);</w:t>
      </w:r>
    </w:p>
    <w:p w:rsidR="0076728E" w:rsidRPr="0076728E" w:rsidRDefault="0076728E" w:rsidP="0076728E">
      <w:pPr>
        <w:pStyle w:val="ConsPlusNormal"/>
        <w:ind w:left="567" w:firstLine="709"/>
        <w:jc w:val="both"/>
        <w:rPr>
          <w:rFonts w:ascii="Times New Roman" w:eastAsiaTheme="minorHAnsi" w:hAnsi="Times New Roman" w:cs="Times New Roman"/>
          <w:sz w:val="28"/>
          <w:szCs w:val="28"/>
          <w:lang w:eastAsia="en-US"/>
        </w:rPr>
      </w:pPr>
      <w:r w:rsidRPr="0076728E">
        <w:rPr>
          <w:rFonts w:ascii="Times New Roman" w:eastAsiaTheme="minorHAnsi" w:hAnsi="Times New Roman" w:cs="Times New Roman"/>
          <w:sz w:val="28"/>
          <w:szCs w:val="28"/>
          <w:lang w:eastAsia="en-US"/>
        </w:rPr>
        <w:t xml:space="preserve">12) Заключение договора безвозмездного срочного пользования в отношении земельного участка из земель, находящихся в государственной или муниципальной собственности </w:t>
      </w:r>
      <w:r w:rsidRPr="0076728E">
        <w:rPr>
          <w:rFonts w:ascii="Times New Roman" w:hAnsi="Times New Roman" w:cs="Times New Roman"/>
          <w:sz w:val="28"/>
          <w:szCs w:val="28"/>
        </w:rPr>
        <w:t>(процедура № 19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lastRenderedPageBreak/>
        <w:t xml:space="preserve">Органы государственной власти субъектов Российской Федерации не наделены полномочиями по </w:t>
      </w:r>
      <w:proofErr w:type="gramStart"/>
      <w:r w:rsidRPr="0076728E">
        <w:rPr>
          <w:rFonts w:ascii="Times New Roman" w:hAnsi="Times New Roman" w:cs="Times New Roman"/>
          <w:sz w:val="28"/>
          <w:szCs w:val="28"/>
        </w:rPr>
        <w:t>контролю за</w:t>
      </w:r>
      <w:proofErr w:type="gramEnd"/>
      <w:r w:rsidRPr="0076728E">
        <w:rPr>
          <w:rFonts w:ascii="Times New Roman" w:hAnsi="Times New Roman" w:cs="Times New Roman"/>
          <w:sz w:val="28"/>
          <w:szCs w:val="28"/>
        </w:rPr>
        <w:t xml:space="preserve"> соблюдением органами местного самоуправления земельного законодательства. При этом законодательство не содержит запрета для органов государственной власти субъектов Российской Федерации на осуществление мониторинга соответствующих муниципальных правовых актов. При осуществлении мониторинга муниципальных правовых актов с целью всестороннего исследования их соответствия требованиям статьи 6 Кодекса рекомендуется использовать форму Контрольного листа.</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выявлении фактов несоответствия муниципального правового акта требованиям статьи 6 Кодекса соответствующая информация может быть направлена должностными лицами органов государственной власти субъектов Российской Федерации в прокуратуру для принятия мер прокурорского реагирования.</w:t>
      </w:r>
    </w:p>
    <w:p w:rsidR="0076728E" w:rsidRPr="0076728E" w:rsidRDefault="0076728E" w:rsidP="0076728E">
      <w:pPr>
        <w:ind w:left="567" w:firstLine="709"/>
        <w:jc w:val="both"/>
        <w:rPr>
          <w:rFonts w:ascii="Times New Roman" w:hAnsi="Times New Roman" w:cs="Times New Roman"/>
          <w:sz w:val="28"/>
          <w:szCs w:val="28"/>
        </w:rPr>
      </w:pPr>
    </w:p>
    <w:p w:rsidR="0076728E" w:rsidRPr="0076728E" w:rsidRDefault="0076728E" w:rsidP="0076728E">
      <w:pPr>
        <w:ind w:left="567" w:firstLine="709"/>
        <w:jc w:val="both"/>
        <w:rPr>
          <w:rFonts w:ascii="Times New Roman" w:hAnsi="Times New Roman" w:cs="Times New Roman"/>
          <w:b/>
          <w:sz w:val="28"/>
          <w:szCs w:val="28"/>
        </w:rPr>
      </w:pPr>
      <w:r w:rsidRPr="0076728E">
        <w:rPr>
          <w:rFonts w:ascii="Times New Roman" w:hAnsi="Times New Roman" w:cs="Times New Roman"/>
          <w:b/>
          <w:sz w:val="28"/>
          <w:szCs w:val="28"/>
        </w:rPr>
        <w:t>3. Приведение в соответствие с Исчерпывающим перечнем процедур нормативных правовых актов субъектов Российской Федерации, устанавливающих процедуры, включенные в Исчерпывающий перечень, и порядок их проведения.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Законодательством о градостроительной деятельности определены следующие процедуры, включенные в Исчерпывающий перечень, осуществляемые органами государственной власти субъекта Российской Федерации (организациями, уполномоченными на проведение государственной экспертизы проектной документации):</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1) Предоставление положительного заключения экспертизы результатов инженерных изысканий (процедура № 53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2) Предоставление положительного заключения экспертизы проектной документации (процедура № 54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3) Предоставление положительного заключения о достоверности определения сметной стоимости объекта капитального строительства (процедура № 55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4)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 (процедура № 65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5) Проведение проверок государственного строительного надзора (процедура № 76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6) Предоставление акта итоговой проверки государственного строительного надзора (процедура № 79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7) Предоставление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(процедура № 126 Исчерпывающего перечня).</w:t>
      </w:r>
    </w:p>
    <w:p w:rsidR="0076728E" w:rsidRPr="0076728E" w:rsidRDefault="0076728E" w:rsidP="0076728E">
      <w:pPr>
        <w:ind w:left="567" w:firstLine="709"/>
        <w:jc w:val="both"/>
        <w:rPr>
          <w:rFonts w:ascii="Times New Roman" w:hAnsi="Times New Roman" w:cs="Times New Roman"/>
          <w:sz w:val="28"/>
          <w:szCs w:val="28"/>
        </w:rPr>
      </w:pPr>
      <w:proofErr w:type="gramStart"/>
      <w:r w:rsidRPr="0076728E">
        <w:rPr>
          <w:rFonts w:ascii="Times New Roman" w:hAnsi="Times New Roman" w:cs="Times New Roman"/>
          <w:sz w:val="28"/>
          <w:szCs w:val="28"/>
        </w:rPr>
        <w:t xml:space="preserve">Законом субъекта Российской Федерации в соответствии с частью 1.2 статьи 17 Федерального закона от 6 октября 2003 г. № 131-ФЗ «Об общих </w:t>
      </w:r>
      <w:r w:rsidRPr="0076728E">
        <w:rPr>
          <w:rFonts w:ascii="Times New Roman" w:hAnsi="Times New Roman" w:cs="Times New Roman"/>
          <w:sz w:val="28"/>
          <w:szCs w:val="28"/>
        </w:rPr>
        <w:lastRenderedPageBreak/>
        <w:t>принципах организации местного самоуправления в Российской Федерации» могут быть перераспределены полномочия  между органами государственной власти субъекта Российской Федерации и органами местного самоуправления, в том числе в части осуществления процедур, указанных в разделе 1 настоящих Методических рекомендаций (процедуры № 1-19, 23</w:t>
      </w:r>
      <w:proofErr w:type="gramEnd"/>
      <w:r w:rsidRPr="0076728E">
        <w:rPr>
          <w:rFonts w:ascii="Times New Roman" w:hAnsi="Times New Roman" w:cs="Times New Roman"/>
          <w:sz w:val="28"/>
          <w:szCs w:val="28"/>
        </w:rPr>
        <w:t xml:space="preserve">, </w:t>
      </w:r>
      <w:proofErr w:type="gramStart"/>
      <w:r w:rsidRPr="0076728E">
        <w:rPr>
          <w:rFonts w:ascii="Times New Roman" w:hAnsi="Times New Roman" w:cs="Times New Roman"/>
          <w:sz w:val="28"/>
          <w:szCs w:val="28"/>
        </w:rPr>
        <w:t>24, 27, 59-61, 127 Исчерпывающего перечня).</w:t>
      </w:r>
      <w:proofErr w:type="gramEnd"/>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К полномочиям органов государственной власти субъекта Российской Федерации может относиться также осуществление процедур № 130-134 Исчерпывающего перечня,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осуществление таких процедур органом государственной власти субъекта Российской Федерации установлено нормативным правовым актом субъекта Российской Федерации.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С целью приведения в соответствие с Исчерпывающим перечнем нормативных правовых актов субъектов Российской Федерации необходимо исследовать нормативные правовые акты, которыми установлены включенные в Исчерпывающий перечень процедуры, осуществляемые органами местного самоуправления и органами государственной власти субъектов Российской Федерации, а также порядок проведения таких процедур.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 xml:space="preserve">При проведении исследования соответствия нормативных правовых актов субъектов Российской Федерации, устанавливающих процедуры, включенные в Исчерпывающий перечень, и порядок их проведения, рекомендуется использовать также форму Контрольного листа. </w:t>
      </w:r>
      <w:proofErr w:type="gramStart"/>
      <w:r w:rsidRPr="0076728E">
        <w:rPr>
          <w:rFonts w:ascii="Times New Roman" w:hAnsi="Times New Roman" w:cs="Times New Roman"/>
          <w:sz w:val="28"/>
          <w:szCs w:val="28"/>
        </w:rPr>
        <w:t xml:space="preserve">При заполнении Контрольного листа необходимо использовать информацию, содержащуюся в Реестре описаний процедур, который размещен на официальном сайте Минстроя России, а также сведения, содержащиеся в административных регламентах предоставления государственных услуг, утверждение которых является обязательным в соответствии со статьей 6 Федерального закона от 6 октября 2003 г. № 131-ФЗ </w:t>
      </w:r>
      <w:r w:rsidRPr="0076728E">
        <w:rPr>
          <w:rFonts w:ascii="Times New Roman" w:hAnsi="Times New Roman" w:cs="Times New Roman"/>
          <w:sz w:val="28"/>
          <w:szCs w:val="28"/>
        </w:rPr>
        <w:br/>
        <w:t>«Об общих принципах организации местного самоуправления в Российской Федерации».</w:t>
      </w:r>
      <w:proofErr w:type="gramEnd"/>
      <w:r w:rsidRPr="0076728E">
        <w:rPr>
          <w:rFonts w:ascii="Times New Roman" w:hAnsi="Times New Roman" w:cs="Times New Roman"/>
          <w:sz w:val="28"/>
          <w:szCs w:val="28"/>
        </w:rPr>
        <w:t xml:space="preserve"> Следует также учитывать, что предоставление процедур, являющихся государственных услугами, осуществляется в соответствии с административными регламентами. </w:t>
      </w:r>
    </w:p>
    <w:p w:rsidR="0076728E" w:rsidRPr="0076728E" w:rsidRDefault="0076728E" w:rsidP="0076728E">
      <w:pPr>
        <w:ind w:left="567" w:firstLine="709"/>
        <w:jc w:val="both"/>
        <w:rPr>
          <w:rFonts w:ascii="Times New Roman" w:hAnsi="Times New Roman" w:cs="Times New Roman"/>
          <w:sz w:val="28"/>
          <w:szCs w:val="28"/>
        </w:rPr>
      </w:pPr>
      <w:r w:rsidRPr="0076728E">
        <w:rPr>
          <w:rFonts w:ascii="Times New Roman" w:hAnsi="Times New Roman" w:cs="Times New Roman"/>
          <w:sz w:val="28"/>
          <w:szCs w:val="28"/>
        </w:rPr>
        <w:t>При этом необходимо учитывать, что в случае, если нормативными правовыми актами не предусмотрены процедуры, включенные в Исчерпывающий перечень, дополнительно их вводить не рекомендуется.</w:t>
      </w:r>
    </w:p>
    <w:p w:rsidR="0076728E" w:rsidRDefault="0076728E" w:rsidP="0076728E">
      <w:pPr>
        <w:ind w:left="567"/>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76728E" w:rsidRDefault="0076728E" w:rsidP="000C3B6B">
      <w:pPr>
        <w:ind w:left="6663"/>
        <w:jc w:val="center"/>
        <w:rPr>
          <w:color w:val="auto"/>
        </w:rPr>
      </w:pPr>
    </w:p>
    <w:p w:rsidR="00C34EDF" w:rsidRPr="000C3B6B" w:rsidRDefault="000C3B6B" w:rsidP="000C3B6B">
      <w:pPr>
        <w:ind w:left="6663"/>
        <w:jc w:val="center"/>
        <w:rPr>
          <w:color w:val="auto"/>
        </w:rPr>
      </w:pPr>
      <w:r w:rsidRPr="000C3B6B">
        <w:rPr>
          <w:color w:val="auto"/>
        </w:rPr>
        <w:lastRenderedPageBreak/>
        <w:t>П</w:t>
      </w:r>
      <w:r w:rsidR="00C34EDF" w:rsidRPr="000C3B6B">
        <w:rPr>
          <w:color w:val="auto"/>
        </w:rPr>
        <w:t>риложение</w:t>
      </w:r>
    </w:p>
    <w:p w:rsidR="000C3B6B" w:rsidRPr="000C3B6B" w:rsidRDefault="000C3B6B" w:rsidP="000C3B6B">
      <w:pPr>
        <w:ind w:left="6663"/>
        <w:jc w:val="center"/>
        <w:rPr>
          <w:color w:val="auto"/>
        </w:rPr>
      </w:pPr>
      <w:r>
        <w:rPr>
          <w:color w:val="auto"/>
        </w:rPr>
        <w:t>к</w:t>
      </w:r>
      <w:r w:rsidRPr="000C3B6B">
        <w:rPr>
          <w:color w:val="auto"/>
        </w:rPr>
        <w:t xml:space="preserve"> Методическим рекомендациям о приведении нормативных правовых актов в соответствие с Исчерпывающим перечнем</w:t>
      </w:r>
    </w:p>
    <w:p w:rsidR="00C34EDF" w:rsidRDefault="00C34EDF">
      <w:pPr>
        <w:jc w:val="center"/>
        <w:rPr>
          <w:color w:val="auto"/>
        </w:rPr>
      </w:pPr>
    </w:p>
    <w:p w:rsidR="00C34EDF" w:rsidRPr="00C34EDF" w:rsidRDefault="00C34EDF">
      <w:pPr>
        <w:jc w:val="center"/>
        <w:rPr>
          <w:color w:val="auto"/>
        </w:rPr>
      </w:pPr>
      <w:r w:rsidRPr="00C34EDF">
        <w:rPr>
          <w:color w:val="auto"/>
        </w:rPr>
        <w:t xml:space="preserve">КОНТРОЛЬНЫЙ ЛИСТ </w:t>
      </w:r>
    </w:p>
    <w:p w:rsidR="0007261B" w:rsidRPr="00C34EDF" w:rsidRDefault="00C34EDF">
      <w:pPr>
        <w:jc w:val="center"/>
        <w:rPr>
          <w:color w:val="auto"/>
        </w:rPr>
      </w:pPr>
      <w:r w:rsidRPr="00C34EDF">
        <w:rPr>
          <w:color w:val="auto"/>
        </w:rPr>
        <w:t xml:space="preserve">проверки соблюдения порядка проведения процедуры, предусмотренной Исчерпывающим перечнем процедур в сфере жилищного строительства, утвержденным постановлением правительства Российской Федерации </w:t>
      </w:r>
      <w:r w:rsidR="00FE6E6D" w:rsidRPr="00C34EDF">
        <w:rPr>
          <w:color w:val="auto"/>
        </w:rPr>
        <w:t>от 30 апреля 2014 г</w:t>
      </w:r>
      <w:r w:rsidR="00FE6E6D">
        <w:rPr>
          <w:color w:val="auto"/>
        </w:rPr>
        <w:t>.</w:t>
      </w:r>
      <w:r w:rsidR="00FE6E6D" w:rsidRPr="00C34EDF">
        <w:rPr>
          <w:color w:val="auto"/>
        </w:rPr>
        <w:t xml:space="preserve"> </w:t>
      </w:r>
      <w:r w:rsidRPr="00C34EDF">
        <w:rPr>
          <w:color w:val="auto"/>
        </w:rPr>
        <w:t>№ 403</w:t>
      </w:r>
    </w:p>
    <w:p w:rsidR="0007261B" w:rsidRPr="00C34EDF" w:rsidRDefault="0007261B">
      <w:pPr>
        <w:spacing w:line="320" w:lineRule="atLeast"/>
        <w:rPr>
          <w:rFonts w:ascii="Times New Roman" w:hAnsi="Times New Roman" w:cs="Times New Roman"/>
          <w:color w:val="auto"/>
        </w:rPr>
      </w:pPr>
    </w:p>
    <w:p w:rsidR="0007261B" w:rsidRPr="00C34EDF" w:rsidRDefault="00C34EDF">
      <w:pPr>
        <w:rPr>
          <w:b/>
          <w:color w:val="auto"/>
        </w:rPr>
      </w:pPr>
      <w:r w:rsidRPr="00C34EDF">
        <w:rPr>
          <w:b/>
          <w:color w:val="auto"/>
        </w:rPr>
        <w:t>Процедура</w:t>
      </w:r>
      <w:r w:rsidR="00CF77AB" w:rsidRPr="00C34EDF">
        <w:rPr>
          <w:b/>
          <w:color w:val="auto"/>
        </w:rPr>
        <w:t xml:space="preserve">: № </w:t>
      </w:r>
      <w:r>
        <w:rPr>
          <w:b/>
          <w:color w:val="auto"/>
        </w:rPr>
        <w:t>______________________________________________</w:t>
      </w:r>
      <w:r w:rsidR="005D01CD">
        <w:rPr>
          <w:b/>
          <w:color w:val="auto"/>
        </w:rPr>
        <w:t>__________________</w:t>
      </w:r>
    </w:p>
    <w:p w:rsidR="00882664" w:rsidRDefault="00882664"/>
    <w:p w:rsidR="00882664" w:rsidRDefault="00882664">
      <w:r>
        <w:t>1. Регламентация процедуры нормативными правовыми актами</w:t>
      </w:r>
    </w:p>
    <w:p w:rsidR="00882664" w:rsidRDefault="00882664"/>
    <w:p w:rsidR="00882664" w:rsidRPr="00882664" w:rsidRDefault="00882664">
      <w:r>
        <w:t>1.1. Наименование и структурные единицы нормативных правовых актов, которыми установлена обязательность прохождения процедуры</w:t>
      </w:r>
      <w:r w:rsidRPr="00882664">
        <w:t xml:space="preserve"> (</w:t>
      </w:r>
      <w:r>
        <w:t>установлено требование о необходимости предоставления результирующего документа процедуры)</w:t>
      </w:r>
    </w:p>
    <w:p w:rsidR="00882664" w:rsidRDefault="008826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7534"/>
      </w:tblGrid>
      <w:tr w:rsidR="00882664" w:rsidRPr="002959CE" w:rsidTr="002959CE">
        <w:tc>
          <w:tcPr>
            <w:tcW w:w="3904" w:type="dxa"/>
            <w:shd w:val="clear" w:color="auto" w:fill="auto"/>
          </w:tcPr>
          <w:p w:rsidR="00882664" w:rsidRPr="002959CE" w:rsidRDefault="00882664" w:rsidP="00882664">
            <w:pPr>
              <w:rPr>
                <w:sz w:val="22"/>
                <w:szCs w:val="22"/>
              </w:rPr>
            </w:pPr>
            <w:r w:rsidRPr="002959CE">
              <w:rPr>
                <w:color w:val="auto"/>
                <w:sz w:val="22"/>
                <w:szCs w:val="22"/>
              </w:rPr>
              <w:t>Уровень нормативного правового акта</w:t>
            </w:r>
          </w:p>
        </w:tc>
        <w:tc>
          <w:tcPr>
            <w:tcW w:w="11372" w:type="dxa"/>
            <w:shd w:val="clear" w:color="auto" w:fill="auto"/>
          </w:tcPr>
          <w:p w:rsidR="00882664" w:rsidRPr="002959CE" w:rsidRDefault="00882664">
            <w:pPr>
              <w:rPr>
                <w:sz w:val="22"/>
                <w:szCs w:val="22"/>
              </w:rPr>
            </w:pPr>
          </w:p>
        </w:tc>
      </w:tr>
      <w:tr w:rsidR="00882664" w:rsidRPr="002959CE" w:rsidTr="002959CE">
        <w:tc>
          <w:tcPr>
            <w:tcW w:w="3904" w:type="dxa"/>
            <w:shd w:val="clear" w:color="auto" w:fill="auto"/>
          </w:tcPr>
          <w:p w:rsidR="00882664" w:rsidRPr="002959CE" w:rsidRDefault="00882664">
            <w:pPr>
              <w:rPr>
                <w:sz w:val="22"/>
                <w:szCs w:val="22"/>
              </w:rPr>
            </w:pPr>
            <w:r w:rsidRPr="002959CE">
              <w:rPr>
                <w:sz w:val="22"/>
                <w:szCs w:val="22"/>
              </w:rPr>
              <w:t>федеральный</w:t>
            </w:r>
          </w:p>
        </w:tc>
        <w:tc>
          <w:tcPr>
            <w:tcW w:w="11372" w:type="dxa"/>
            <w:shd w:val="clear" w:color="auto" w:fill="auto"/>
          </w:tcPr>
          <w:p w:rsidR="00882664" w:rsidRPr="002959CE" w:rsidRDefault="002959CE">
            <w:pPr>
              <w:rPr>
                <w:sz w:val="22"/>
                <w:szCs w:val="22"/>
              </w:rPr>
            </w:pPr>
            <w:r w:rsidRPr="002959CE">
              <w:rPr>
                <w:i/>
                <w:color w:val="auto"/>
                <w:sz w:val="16"/>
                <w:szCs w:val="22"/>
              </w:rPr>
              <w:t>Вносятся сведения из реестра описаний процедур</w:t>
            </w:r>
          </w:p>
        </w:tc>
      </w:tr>
      <w:tr w:rsidR="00882664" w:rsidRPr="002959CE" w:rsidTr="002959CE">
        <w:tc>
          <w:tcPr>
            <w:tcW w:w="3904" w:type="dxa"/>
            <w:shd w:val="clear" w:color="auto" w:fill="auto"/>
          </w:tcPr>
          <w:p w:rsidR="00882664" w:rsidRPr="002959CE" w:rsidRDefault="00882664">
            <w:pPr>
              <w:rPr>
                <w:sz w:val="22"/>
                <w:szCs w:val="22"/>
              </w:rPr>
            </w:pPr>
            <w:r w:rsidRPr="002959CE">
              <w:rPr>
                <w:sz w:val="22"/>
                <w:szCs w:val="22"/>
              </w:rPr>
              <w:t>субъективный</w:t>
            </w:r>
          </w:p>
        </w:tc>
        <w:tc>
          <w:tcPr>
            <w:tcW w:w="11372" w:type="dxa"/>
            <w:shd w:val="clear" w:color="auto" w:fill="auto"/>
          </w:tcPr>
          <w:p w:rsidR="00882664" w:rsidRPr="002959CE" w:rsidRDefault="00882664">
            <w:pPr>
              <w:rPr>
                <w:sz w:val="22"/>
                <w:szCs w:val="22"/>
              </w:rPr>
            </w:pPr>
          </w:p>
        </w:tc>
      </w:tr>
      <w:tr w:rsidR="00882664" w:rsidRPr="002959CE" w:rsidTr="002959CE">
        <w:tc>
          <w:tcPr>
            <w:tcW w:w="3904" w:type="dxa"/>
            <w:shd w:val="clear" w:color="auto" w:fill="auto"/>
          </w:tcPr>
          <w:p w:rsidR="00882664" w:rsidRPr="002959CE" w:rsidRDefault="00882664">
            <w:pPr>
              <w:rPr>
                <w:sz w:val="22"/>
                <w:szCs w:val="22"/>
              </w:rPr>
            </w:pPr>
            <w:r w:rsidRPr="002959CE">
              <w:rPr>
                <w:sz w:val="22"/>
                <w:szCs w:val="22"/>
              </w:rPr>
              <w:t>муниципальный</w:t>
            </w:r>
          </w:p>
        </w:tc>
        <w:tc>
          <w:tcPr>
            <w:tcW w:w="11372" w:type="dxa"/>
            <w:shd w:val="clear" w:color="auto" w:fill="auto"/>
          </w:tcPr>
          <w:p w:rsidR="00882664" w:rsidRPr="002959CE" w:rsidRDefault="00882664">
            <w:pPr>
              <w:rPr>
                <w:sz w:val="22"/>
                <w:szCs w:val="22"/>
              </w:rPr>
            </w:pPr>
          </w:p>
        </w:tc>
      </w:tr>
    </w:tbl>
    <w:p w:rsidR="00882664" w:rsidRDefault="00882664"/>
    <w:p w:rsidR="002959CE" w:rsidRDefault="002959CE" w:rsidP="002959CE">
      <w:r>
        <w:t>1.2. Наименование и структурные единицы нормативных правовых актов, которыми установлен порядок прохождения процедуры</w:t>
      </w:r>
      <w:r w:rsidRPr="00882664">
        <w:t xml:space="preserve"> (</w:t>
      </w:r>
      <w:r>
        <w:t>установлены необходимые документы для процедуры, срок, стоимость, основания для отказа и т.п.)</w:t>
      </w:r>
    </w:p>
    <w:p w:rsidR="002959CE" w:rsidRDefault="002959CE" w:rsidP="002959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7534"/>
      </w:tblGrid>
      <w:tr w:rsidR="00970334" w:rsidRPr="002959CE" w:rsidTr="002959CE">
        <w:tc>
          <w:tcPr>
            <w:tcW w:w="3904" w:type="dxa"/>
            <w:shd w:val="clear" w:color="auto" w:fill="auto"/>
          </w:tcPr>
          <w:p w:rsidR="002959CE" w:rsidRPr="002959CE" w:rsidRDefault="002959CE" w:rsidP="006A2E71">
            <w:pPr>
              <w:rPr>
                <w:sz w:val="22"/>
                <w:szCs w:val="22"/>
              </w:rPr>
            </w:pPr>
            <w:r w:rsidRPr="002959CE">
              <w:rPr>
                <w:color w:val="auto"/>
                <w:sz w:val="22"/>
                <w:szCs w:val="22"/>
              </w:rPr>
              <w:t>Уровень нормативного правового акта</w:t>
            </w:r>
          </w:p>
        </w:tc>
        <w:tc>
          <w:tcPr>
            <w:tcW w:w="11372" w:type="dxa"/>
            <w:shd w:val="clear" w:color="auto" w:fill="auto"/>
          </w:tcPr>
          <w:p w:rsidR="002959CE" w:rsidRPr="002959CE" w:rsidRDefault="002959CE" w:rsidP="006A2E71">
            <w:pPr>
              <w:rPr>
                <w:sz w:val="22"/>
                <w:szCs w:val="22"/>
              </w:rPr>
            </w:pPr>
          </w:p>
        </w:tc>
      </w:tr>
      <w:tr w:rsidR="00970334" w:rsidRPr="002959CE" w:rsidTr="002959CE">
        <w:tc>
          <w:tcPr>
            <w:tcW w:w="3904" w:type="dxa"/>
            <w:shd w:val="clear" w:color="auto" w:fill="auto"/>
          </w:tcPr>
          <w:p w:rsidR="002959CE" w:rsidRPr="002959CE" w:rsidRDefault="002959CE" w:rsidP="006A2E71">
            <w:pPr>
              <w:rPr>
                <w:sz w:val="22"/>
                <w:szCs w:val="22"/>
              </w:rPr>
            </w:pPr>
            <w:r w:rsidRPr="002959CE">
              <w:rPr>
                <w:sz w:val="22"/>
                <w:szCs w:val="22"/>
              </w:rPr>
              <w:t>федеральный</w:t>
            </w:r>
          </w:p>
        </w:tc>
        <w:tc>
          <w:tcPr>
            <w:tcW w:w="11372" w:type="dxa"/>
            <w:shd w:val="clear" w:color="auto" w:fill="auto"/>
          </w:tcPr>
          <w:p w:rsidR="002959CE" w:rsidRPr="002959CE" w:rsidRDefault="002959CE" w:rsidP="006A2E71">
            <w:pPr>
              <w:rPr>
                <w:sz w:val="22"/>
                <w:szCs w:val="22"/>
              </w:rPr>
            </w:pPr>
            <w:r w:rsidRPr="002959CE">
              <w:rPr>
                <w:i/>
                <w:color w:val="auto"/>
                <w:sz w:val="16"/>
                <w:szCs w:val="22"/>
              </w:rPr>
              <w:t>Вносятся сведения из реестра описаний процедур</w:t>
            </w:r>
          </w:p>
        </w:tc>
      </w:tr>
      <w:tr w:rsidR="00970334" w:rsidRPr="002959CE" w:rsidTr="002959CE">
        <w:tc>
          <w:tcPr>
            <w:tcW w:w="3904" w:type="dxa"/>
            <w:shd w:val="clear" w:color="auto" w:fill="auto"/>
          </w:tcPr>
          <w:p w:rsidR="002959CE" w:rsidRPr="002959CE" w:rsidRDefault="002959CE" w:rsidP="006A2E71">
            <w:pPr>
              <w:rPr>
                <w:sz w:val="22"/>
                <w:szCs w:val="22"/>
              </w:rPr>
            </w:pPr>
            <w:r w:rsidRPr="002959CE">
              <w:rPr>
                <w:sz w:val="22"/>
                <w:szCs w:val="22"/>
              </w:rPr>
              <w:t>субъективный</w:t>
            </w:r>
          </w:p>
        </w:tc>
        <w:tc>
          <w:tcPr>
            <w:tcW w:w="11372" w:type="dxa"/>
            <w:shd w:val="clear" w:color="auto" w:fill="auto"/>
          </w:tcPr>
          <w:p w:rsidR="002959CE" w:rsidRPr="002959CE" w:rsidRDefault="002959CE" w:rsidP="006A2E71">
            <w:pPr>
              <w:rPr>
                <w:sz w:val="22"/>
                <w:szCs w:val="22"/>
              </w:rPr>
            </w:pPr>
          </w:p>
        </w:tc>
      </w:tr>
      <w:tr w:rsidR="00970334" w:rsidRPr="002959CE" w:rsidTr="002959CE">
        <w:tc>
          <w:tcPr>
            <w:tcW w:w="3904" w:type="dxa"/>
            <w:shd w:val="clear" w:color="auto" w:fill="auto"/>
          </w:tcPr>
          <w:p w:rsidR="002959CE" w:rsidRPr="002959CE" w:rsidRDefault="002959CE" w:rsidP="006A2E71">
            <w:pPr>
              <w:rPr>
                <w:sz w:val="22"/>
                <w:szCs w:val="22"/>
              </w:rPr>
            </w:pPr>
            <w:r w:rsidRPr="002959CE">
              <w:rPr>
                <w:sz w:val="22"/>
                <w:szCs w:val="22"/>
              </w:rPr>
              <w:t>муниципальный</w:t>
            </w:r>
          </w:p>
        </w:tc>
        <w:tc>
          <w:tcPr>
            <w:tcW w:w="11372" w:type="dxa"/>
            <w:shd w:val="clear" w:color="auto" w:fill="auto"/>
          </w:tcPr>
          <w:p w:rsidR="002959CE" w:rsidRPr="002959CE" w:rsidRDefault="002959CE" w:rsidP="006A2E71">
            <w:pPr>
              <w:rPr>
                <w:sz w:val="22"/>
                <w:szCs w:val="22"/>
              </w:rPr>
            </w:pPr>
          </w:p>
        </w:tc>
      </w:tr>
    </w:tbl>
    <w:p w:rsidR="002959CE" w:rsidRDefault="002959CE" w:rsidP="002959CE"/>
    <w:p w:rsidR="00F129EB" w:rsidRDefault="002959CE" w:rsidP="002959CE">
      <w:r>
        <w:t xml:space="preserve">2. </w:t>
      </w:r>
      <w:r w:rsidR="00F129EB">
        <w:t>Д</w:t>
      </w:r>
      <w:r w:rsidR="00F129EB" w:rsidRPr="00F129EB">
        <w:t>окумент</w:t>
      </w:r>
      <w:r w:rsidR="00F129EB">
        <w:t>ы</w:t>
      </w:r>
      <w:r w:rsidR="00F129EB" w:rsidRPr="00F129EB">
        <w:t>, которые заявитель обязан предоставить для проведения процедуры</w:t>
      </w:r>
    </w:p>
    <w:p w:rsidR="00F129EB" w:rsidRDefault="00F129EB" w:rsidP="002959CE"/>
    <w:p w:rsidR="002959CE" w:rsidRDefault="00F129EB" w:rsidP="002959CE">
      <w:r>
        <w:t xml:space="preserve">2.1. </w:t>
      </w:r>
      <w:r w:rsidR="002959CE" w:rsidRPr="002959CE">
        <w:t>Перечень документов, которые заявитель обязан предоставить для проведения процедуры</w:t>
      </w:r>
    </w:p>
    <w:p w:rsidR="00882664" w:rsidRDefault="008826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549"/>
        <w:gridCol w:w="3533"/>
      </w:tblGrid>
      <w:tr w:rsidR="00F129EB" w:rsidRPr="002959CE" w:rsidTr="002959CE">
        <w:tc>
          <w:tcPr>
            <w:tcW w:w="5205" w:type="dxa"/>
            <w:shd w:val="clear" w:color="auto" w:fill="auto"/>
          </w:tcPr>
          <w:p w:rsidR="002959CE" w:rsidRPr="002959CE" w:rsidRDefault="002959CE">
            <w:pPr>
              <w:rPr>
                <w:sz w:val="22"/>
                <w:szCs w:val="22"/>
              </w:rPr>
            </w:pPr>
            <w:r w:rsidRPr="002959CE">
              <w:rPr>
                <w:sz w:val="22"/>
                <w:szCs w:val="22"/>
              </w:rPr>
              <w:t>Документы, предусмотренные реестром описаний процедур</w:t>
            </w:r>
          </w:p>
        </w:tc>
        <w:tc>
          <w:tcPr>
            <w:tcW w:w="5205" w:type="dxa"/>
            <w:shd w:val="clear" w:color="auto" w:fill="auto"/>
          </w:tcPr>
          <w:p w:rsidR="002959CE" w:rsidRPr="002959CE" w:rsidRDefault="002959CE" w:rsidP="00F129EB">
            <w:pPr>
              <w:rPr>
                <w:sz w:val="22"/>
                <w:szCs w:val="22"/>
              </w:rPr>
            </w:pPr>
            <w:r w:rsidRPr="002959CE">
              <w:rPr>
                <w:sz w:val="22"/>
                <w:szCs w:val="22"/>
              </w:rPr>
              <w:t>Дополнительные документы, выявленные по результатам контрольных мероприятий</w:t>
            </w:r>
            <w:r w:rsidR="00F129EB">
              <w:rPr>
                <w:sz w:val="22"/>
                <w:szCs w:val="22"/>
              </w:rPr>
              <w:t>, требования к этим документам (по форме, обязательности подачи, количеству экземпляров, необходимости предоставления оригиналов или нотариальных копий)</w:t>
            </w:r>
          </w:p>
        </w:tc>
        <w:tc>
          <w:tcPr>
            <w:tcW w:w="5206" w:type="dxa"/>
            <w:shd w:val="clear" w:color="auto" w:fill="auto"/>
          </w:tcPr>
          <w:p w:rsidR="002959CE" w:rsidRPr="002959CE" w:rsidRDefault="002959CE">
            <w:pPr>
              <w:rPr>
                <w:sz w:val="22"/>
                <w:szCs w:val="22"/>
              </w:rPr>
            </w:pPr>
            <w:r w:rsidRPr="002959CE">
              <w:rPr>
                <w:sz w:val="22"/>
                <w:szCs w:val="22"/>
              </w:rPr>
              <w:t>Наименование и структурные единицы нормативных правовых актов, которыми установлена обязательность предоставления дополнительных документов</w:t>
            </w:r>
          </w:p>
        </w:tc>
      </w:tr>
      <w:tr w:rsidR="00F129EB" w:rsidRPr="002959CE" w:rsidTr="002959CE">
        <w:tc>
          <w:tcPr>
            <w:tcW w:w="5205" w:type="dxa"/>
            <w:shd w:val="clear" w:color="auto" w:fill="auto"/>
          </w:tcPr>
          <w:p w:rsidR="002959CE" w:rsidRPr="002959CE" w:rsidRDefault="002959CE">
            <w:pPr>
              <w:rPr>
                <w:sz w:val="22"/>
                <w:szCs w:val="22"/>
              </w:rPr>
            </w:pPr>
          </w:p>
        </w:tc>
        <w:tc>
          <w:tcPr>
            <w:tcW w:w="5205" w:type="dxa"/>
            <w:shd w:val="clear" w:color="auto" w:fill="auto"/>
          </w:tcPr>
          <w:p w:rsidR="002959CE" w:rsidRPr="002959CE" w:rsidRDefault="002959CE">
            <w:pPr>
              <w:rPr>
                <w:sz w:val="22"/>
                <w:szCs w:val="22"/>
              </w:rPr>
            </w:pPr>
          </w:p>
        </w:tc>
        <w:tc>
          <w:tcPr>
            <w:tcW w:w="5206" w:type="dxa"/>
            <w:shd w:val="clear" w:color="auto" w:fill="auto"/>
          </w:tcPr>
          <w:p w:rsidR="002959CE" w:rsidRPr="002959CE" w:rsidRDefault="002959CE">
            <w:pPr>
              <w:rPr>
                <w:sz w:val="22"/>
                <w:szCs w:val="22"/>
              </w:rPr>
            </w:pPr>
          </w:p>
        </w:tc>
      </w:tr>
      <w:tr w:rsidR="00F129EB" w:rsidRPr="002959CE" w:rsidTr="002959CE">
        <w:tc>
          <w:tcPr>
            <w:tcW w:w="5205" w:type="dxa"/>
            <w:shd w:val="clear" w:color="auto" w:fill="auto"/>
          </w:tcPr>
          <w:p w:rsidR="002959CE" w:rsidRPr="002959CE" w:rsidRDefault="002959CE">
            <w:pPr>
              <w:rPr>
                <w:sz w:val="22"/>
                <w:szCs w:val="22"/>
              </w:rPr>
            </w:pPr>
          </w:p>
        </w:tc>
        <w:tc>
          <w:tcPr>
            <w:tcW w:w="5205" w:type="dxa"/>
            <w:shd w:val="clear" w:color="auto" w:fill="auto"/>
          </w:tcPr>
          <w:p w:rsidR="002959CE" w:rsidRPr="002959CE" w:rsidRDefault="002959CE">
            <w:pPr>
              <w:rPr>
                <w:sz w:val="22"/>
                <w:szCs w:val="22"/>
              </w:rPr>
            </w:pPr>
          </w:p>
        </w:tc>
        <w:tc>
          <w:tcPr>
            <w:tcW w:w="5206" w:type="dxa"/>
            <w:shd w:val="clear" w:color="auto" w:fill="auto"/>
          </w:tcPr>
          <w:p w:rsidR="002959CE" w:rsidRPr="002959CE" w:rsidRDefault="002959CE">
            <w:pPr>
              <w:rPr>
                <w:sz w:val="22"/>
                <w:szCs w:val="22"/>
              </w:rPr>
            </w:pPr>
          </w:p>
        </w:tc>
      </w:tr>
    </w:tbl>
    <w:p w:rsidR="00882664" w:rsidRDefault="00882664"/>
    <w:p w:rsidR="00F129EB" w:rsidRDefault="00F129EB" w:rsidP="00F129EB">
      <w:r>
        <w:t>2.</w:t>
      </w:r>
      <w:r w:rsidR="000263E9">
        <w:t>2</w:t>
      </w:r>
      <w:r>
        <w:t>. Требования к документам, предусмотренным реестром описания процедур</w:t>
      </w:r>
      <w:r w:rsidR="00430CE3">
        <w:t xml:space="preserve"> (заполняется в отношении каждого документа)</w:t>
      </w:r>
    </w:p>
    <w:p w:rsidR="00F129EB" w:rsidRDefault="00F129EB" w:rsidP="00F129EB">
      <w:r>
        <w:lastRenderedPageBreak/>
        <w:t>Наименование документа _______________________________________________</w:t>
      </w:r>
    </w:p>
    <w:p w:rsidR="00F129EB" w:rsidRDefault="00F129EB" w:rsidP="00F129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893"/>
        <w:gridCol w:w="2856"/>
        <w:gridCol w:w="2486"/>
      </w:tblGrid>
      <w:tr w:rsidR="00CF77AB" w:rsidTr="00CF77AB">
        <w:tc>
          <w:tcPr>
            <w:tcW w:w="2448" w:type="dxa"/>
            <w:shd w:val="clear" w:color="auto" w:fill="auto"/>
          </w:tcPr>
          <w:p w:rsidR="00F129EB" w:rsidRDefault="00F129EB" w:rsidP="00F129EB">
            <w:r>
              <w:t>Требования к документам</w:t>
            </w:r>
          </w:p>
        </w:tc>
        <w:tc>
          <w:tcPr>
            <w:tcW w:w="2893" w:type="dxa"/>
            <w:shd w:val="clear" w:color="auto" w:fill="auto"/>
          </w:tcPr>
          <w:p w:rsidR="00F129EB" w:rsidRDefault="00F129EB" w:rsidP="00A5305A">
            <w:r>
              <w:t>Требования в соответствии с реестром описаний процедур</w:t>
            </w:r>
          </w:p>
        </w:tc>
        <w:tc>
          <w:tcPr>
            <w:tcW w:w="2856" w:type="dxa"/>
            <w:shd w:val="clear" w:color="auto" w:fill="auto"/>
          </w:tcPr>
          <w:p w:rsidR="00F129EB" w:rsidRDefault="00F129EB" w:rsidP="00F129EB">
            <w:r w:rsidRPr="00CF77AB">
              <w:rPr>
                <w:sz w:val="22"/>
                <w:szCs w:val="22"/>
              </w:rPr>
              <w:t>Дополнительные требования, выявленные по результатам контрольных мероприятий</w:t>
            </w:r>
          </w:p>
        </w:tc>
        <w:tc>
          <w:tcPr>
            <w:tcW w:w="2486" w:type="dxa"/>
            <w:shd w:val="clear" w:color="auto" w:fill="auto"/>
          </w:tcPr>
          <w:p w:rsidR="00F129EB" w:rsidRDefault="00F129EB" w:rsidP="00F129EB">
            <w:r w:rsidRPr="00CF77AB">
              <w:rPr>
                <w:sz w:val="22"/>
                <w:szCs w:val="22"/>
              </w:rPr>
              <w:t>Наименование и структурные единицы нормативных правовых актов, которыми установлены дополнительные требования</w:t>
            </w:r>
          </w:p>
        </w:tc>
      </w:tr>
      <w:tr w:rsidR="00CF77AB" w:rsidTr="00CF77AB">
        <w:tc>
          <w:tcPr>
            <w:tcW w:w="2448" w:type="dxa"/>
            <w:shd w:val="clear" w:color="auto" w:fill="auto"/>
          </w:tcPr>
          <w:p w:rsidR="00F129EB" w:rsidRDefault="00430CE3" w:rsidP="00430CE3">
            <w:r w:rsidRPr="00CF77AB">
              <w:rPr>
                <w:sz w:val="22"/>
                <w:szCs w:val="22"/>
              </w:rPr>
              <w:t>по форме</w:t>
            </w:r>
          </w:p>
        </w:tc>
        <w:tc>
          <w:tcPr>
            <w:tcW w:w="2893" w:type="dxa"/>
            <w:shd w:val="clear" w:color="auto" w:fill="auto"/>
          </w:tcPr>
          <w:p w:rsidR="00F129EB" w:rsidRDefault="00F129EB" w:rsidP="00F129EB"/>
        </w:tc>
        <w:tc>
          <w:tcPr>
            <w:tcW w:w="2856" w:type="dxa"/>
            <w:shd w:val="clear" w:color="auto" w:fill="auto"/>
          </w:tcPr>
          <w:p w:rsidR="00F129EB" w:rsidRDefault="00F129EB" w:rsidP="00F129EB"/>
        </w:tc>
        <w:tc>
          <w:tcPr>
            <w:tcW w:w="2486" w:type="dxa"/>
            <w:shd w:val="clear" w:color="auto" w:fill="auto"/>
          </w:tcPr>
          <w:p w:rsidR="00F129EB" w:rsidRDefault="00F129EB" w:rsidP="00F129EB"/>
        </w:tc>
      </w:tr>
      <w:tr w:rsidR="00CF77AB" w:rsidTr="00CF77AB">
        <w:tc>
          <w:tcPr>
            <w:tcW w:w="2448" w:type="dxa"/>
            <w:shd w:val="clear" w:color="auto" w:fill="auto"/>
          </w:tcPr>
          <w:p w:rsidR="00F129EB" w:rsidRDefault="00430CE3" w:rsidP="00430CE3">
            <w:r w:rsidRPr="00CF77AB">
              <w:rPr>
                <w:sz w:val="22"/>
                <w:szCs w:val="22"/>
              </w:rPr>
              <w:t>обязательности подачи</w:t>
            </w:r>
          </w:p>
        </w:tc>
        <w:tc>
          <w:tcPr>
            <w:tcW w:w="2893" w:type="dxa"/>
            <w:shd w:val="clear" w:color="auto" w:fill="auto"/>
          </w:tcPr>
          <w:p w:rsidR="00F129EB" w:rsidRDefault="00F129EB" w:rsidP="00F129EB"/>
        </w:tc>
        <w:tc>
          <w:tcPr>
            <w:tcW w:w="2856" w:type="dxa"/>
            <w:shd w:val="clear" w:color="auto" w:fill="auto"/>
          </w:tcPr>
          <w:p w:rsidR="00F129EB" w:rsidRDefault="00F129EB" w:rsidP="00F129EB"/>
        </w:tc>
        <w:tc>
          <w:tcPr>
            <w:tcW w:w="2486" w:type="dxa"/>
            <w:shd w:val="clear" w:color="auto" w:fill="auto"/>
          </w:tcPr>
          <w:p w:rsidR="00F129EB" w:rsidRDefault="00F129EB" w:rsidP="00F129EB"/>
        </w:tc>
      </w:tr>
      <w:tr w:rsidR="00CF77AB" w:rsidTr="00CF77AB">
        <w:tc>
          <w:tcPr>
            <w:tcW w:w="2448" w:type="dxa"/>
            <w:shd w:val="clear" w:color="auto" w:fill="auto"/>
          </w:tcPr>
          <w:p w:rsidR="00F129EB" w:rsidRDefault="00430CE3" w:rsidP="00430CE3">
            <w:r w:rsidRPr="00CF77AB">
              <w:rPr>
                <w:sz w:val="22"/>
                <w:szCs w:val="22"/>
              </w:rPr>
              <w:t>количеству экземпляров</w:t>
            </w:r>
          </w:p>
        </w:tc>
        <w:tc>
          <w:tcPr>
            <w:tcW w:w="2893" w:type="dxa"/>
            <w:shd w:val="clear" w:color="auto" w:fill="auto"/>
          </w:tcPr>
          <w:p w:rsidR="00F129EB" w:rsidRDefault="00F129EB" w:rsidP="00F129EB"/>
        </w:tc>
        <w:tc>
          <w:tcPr>
            <w:tcW w:w="2856" w:type="dxa"/>
            <w:shd w:val="clear" w:color="auto" w:fill="auto"/>
          </w:tcPr>
          <w:p w:rsidR="00F129EB" w:rsidRDefault="00F129EB" w:rsidP="00F129EB"/>
        </w:tc>
        <w:tc>
          <w:tcPr>
            <w:tcW w:w="2486" w:type="dxa"/>
            <w:shd w:val="clear" w:color="auto" w:fill="auto"/>
          </w:tcPr>
          <w:p w:rsidR="00F129EB" w:rsidRDefault="00F129EB" w:rsidP="00F129EB"/>
        </w:tc>
      </w:tr>
      <w:tr w:rsidR="00CF77AB" w:rsidTr="00CF77AB">
        <w:tc>
          <w:tcPr>
            <w:tcW w:w="2448" w:type="dxa"/>
            <w:shd w:val="clear" w:color="auto" w:fill="auto"/>
          </w:tcPr>
          <w:p w:rsidR="00F129EB" w:rsidRDefault="00430CE3" w:rsidP="00F129EB">
            <w:r w:rsidRPr="00CF77AB">
              <w:rPr>
                <w:sz w:val="22"/>
                <w:szCs w:val="22"/>
              </w:rPr>
              <w:t>необходимости предоставления оригиналов или нотариальных копий</w:t>
            </w:r>
          </w:p>
        </w:tc>
        <w:tc>
          <w:tcPr>
            <w:tcW w:w="2893" w:type="dxa"/>
            <w:shd w:val="clear" w:color="auto" w:fill="auto"/>
          </w:tcPr>
          <w:p w:rsidR="00F129EB" w:rsidRDefault="00F129EB" w:rsidP="00F129EB"/>
        </w:tc>
        <w:tc>
          <w:tcPr>
            <w:tcW w:w="2856" w:type="dxa"/>
            <w:shd w:val="clear" w:color="auto" w:fill="auto"/>
          </w:tcPr>
          <w:p w:rsidR="00F129EB" w:rsidRDefault="00F129EB" w:rsidP="00F129EB"/>
        </w:tc>
        <w:tc>
          <w:tcPr>
            <w:tcW w:w="2486" w:type="dxa"/>
            <w:shd w:val="clear" w:color="auto" w:fill="auto"/>
          </w:tcPr>
          <w:p w:rsidR="00F129EB" w:rsidRDefault="00F129EB" w:rsidP="00F129EB"/>
        </w:tc>
      </w:tr>
    </w:tbl>
    <w:p w:rsidR="00F129EB" w:rsidRDefault="00F129EB"/>
    <w:p w:rsidR="00F129EB" w:rsidRDefault="00F129EB"/>
    <w:p w:rsidR="002959CE" w:rsidRDefault="002959CE" w:rsidP="002959CE">
      <w:r>
        <w:t xml:space="preserve">3. </w:t>
      </w:r>
      <w:r w:rsidRPr="002959CE">
        <w:t xml:space="preserve">Перечень </w:t>
      </w:r>
      <w:r>
        <w:t xml:space="preserve">результирующих </w:t>
      </w:r>
      <w:r w:rsidRPr="002959CE">
        <w:t xml:space="preserve">документов, которые заявитель </w:t>
      </w:r>
      <w:r>
        <w:t xml:space="preserve">получает по итогам </w:t>
      </w:r>
      <w:r w:rsidRPr="002959CE">
        <w:t>проведения процедуры</w:t>
      </w:r>
    </w:p>
    <w:p w:rsidR="002959CE" w:rsidRDefault="002959CE" w:rsidP="002959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549"/>
        <w:gridCol w:w="3533"/>
      </w:tblGrid>
      <w:tr w:rsidR="00970334" w:rsidRPr="002959CE" w:rsidTr="002959CE">
        <w:tc>
          <w:tcPr>
            <w:tcW w:w="5205" w:type="dxa"/>
            <w:shd w:val="clear" w:color="auto" w:fill="auto"/>
          </w:tcPr>
          <w:p w:rsidR="002959CE" w:rsidRPr="002959CE" w:rsidRDefault="002959CE" w:rsidP="006A2E71">
            <w:pPr>
              <w:rPr>
                <w:sz w:val="22"/>
                <w:szCs w:val="22"/>
              </w:rPr>
            </w:pPr>
            <w:r w:rsidRPr="002959CE">
              <w:rPr>
                <w:sz w:val="22"/>
                <w:szCs w:val="22"/>
              </w:rPr>
              <w:t>Документы, предусмотренные реестром описаний процедур</w:t>
            </w:r>
          </w:p>
        </w:tc>
        <w:tc>
          <w:tcPr>
            <w:tcW w:w="5205" w:type="dxa"/>
            <w:shd w:val="clear" w:color="auto" w:fill="auto"/>
          </w:tcPr>
          <w:p w:rsidR="002959CE" w:rsidRPr="002959CE" w:rsidRDefault="002959CE" w:rsidP="006A2E71">
            <w:pPr>
              <w:rPr>
                <w:sz w:val="22"/>
                <w:szCs w:val="22"/>
              </w:rPr>
            </w:pPr>
            <w:r w:rsidRPr="002959CE">
              <w:rPr>
                <w:sz w:val="22"/>
                <w:szCs w:val="22"/>
              </w:rPr>
              <w:t>Дополнительные документы, выявленные по результатам контрольных мероприятий</w:t>
            </w:r>
          </w:p>
        </w:tc>
        <w:tc>
          <w:tcPr>
            <w:tcW w:w="5206" w:type="dxa"/>
            <w:shd w:val="clear" w:color="auto" w:fill="auto"/>
          </w:tcPr>
          <w:p w:rsidR="002959CE" w:rsidRPr="002959CE" w:rsidRDefault="002959CE" w:rsidP="002959CE">
            <w:pPr>
              <w:rPr>
                <w:sz w:val="22"/>
                <w:szCs w:val="22"/>
              </w:rPr>
            </w:pPr>
            <w:r w:rsidRPr="002959CE">
              <w:rPr>
                <w:sz w:val="22"/>
                <w:szCs w:val="22"/>
              </w:rPr>
              <w:t>Наименование и структурные единицы нормативных правовых актов, которыми установлена обязательность выдачи заявителю дополнительных документов</w:t>
            </w:r>
          </w:p>
        </w:tc>
      </w:tr>
      <w:tr w:rsidR="00970334" w:rsidRPr="002959CE" w:rsidTr="002959CE">
        <w:tc>
          <w:tcPr>
            <w:tcW w:w="5205" w:type="dxa"/>
            <w:shd w:val="clear" w:color="auto" w:fill="auto"/>
          </w:tcPr>
          <w:p w:rsidR="002959CE" w:rsidRPr="002959CE" w:rsidRDefault="002959CE" w:rsidP="006A2E71">
            <w:pPr>
              <w:rPr>
                <w:sz w:val="22"/>
                <w:szCs w:val="22"/>
              </w:rPr>
            </w:pPr>
          </w:p>
        </w:tc>
        <w:tc>
          <w:tcPr>
            <w:tcW w:w="5205" w:type="dxa"/>
            <w:shd w:val="clear" w:color="auto" w:fill="auto"/>
          </w:tcPr>
          <w:p w:rsidR="002959CE" w:rsidRPr="002959CE" w:rsidRDefault="002959CE" w:rsidP="006A2E71">
            <w:pPr>
              <w:rPr>
                <w:sz w:val="22"/>
                <w:szCs w:val="22"/>
              </w:rPr>
            </w:pPr>
          </w:p>
        </w:tc>
        <w:tc>
          <w:tcPr>
            <w:tcW w:w="5206" w:type="dxa"/>
            <w:shd w:val="clear" w:color="auto" w:fill="auto"/>
          </w:tcPr>
          <w:p w:rsidR="002959CE" w:rsidRPr="002959CE" w:rsidRDefault="002959CE" w:rsidP="006A2E71">
            <w:pPr>
              <w:rPr>
                <w:sz w:val="22"/>
                <w:szCs w:val="22"/>
              </w:rPr>
            </w:pPr>
          </w:p>
        </w:tc>
      </w:tr>
      <w:tr w:rsidR="00970334" w:rsidRPr="002959CE" w:rsidTr="002959CE">
        <w:tc>
          <w:tcPr>
            <w:tcW w:w="5205" w:type="dxa"/>
            <w:shd w:val="clear" w:color="auto" w:fill="auto"/>
          </w:tcPr>
          <w:p w:rsidR="002959CE" w:rsidRPr="002959CE" w:rsidRDefault="002959CE" w:rsidP="006A2E71">
            <w:pPr>
              <w:rPr>
                <w:sz w:val="22"/>
                <w:szCs w:val="22"/>
              </w:rPr>
            </w:pPr>
          </w:p>
        </w:tc>
        <w:tc>
          <w:tcPr>
            <w:tcW w:w="5205" w:type="dxa"/>
            <w:shd w:val="clear" w:color="auto" w:fill="auto"/>
          </w:tcPr>
          <w:p w:rsidR="002959CE" w:rsidRPr="002959CE" w:rsidRDefault="002959CE" w:rsidP="006A2E71">
            <w:pPr>
              <w:rPr>
                <w:sz w:val="22"/>
                <w:szCs w:val="22"/>
              </w:rPr>
            </w:pPr>
          </w:p>
        </w:tc>
        <w:tc>
          <w:tcPr>
            <w:tcW w:w="5206" w:type="dxa"/>
            <w:shd w:val="clear" w:color="auto" w:fill="auto"/>
          </w:tcPr>
          <w:p w:rsidR="002959CE" w:rsidRPr="002959CE" w:rsidRDefault="002959CE" w:rsidP="006A2E71">
            <w:pPr>
              <w:rPr>
                <w:sz w:val="22"/>
                <w:szCs w:val="22"/>
              </w:rPr>
            </w:pPr>
          </w:p>
        </w:tc>
      </w:tr>
    </w:tbl>
    <w:p w:rsidR="002959CE" w:rsidRDefault="002959CE" w:rsidP="002959CE"/>
    <w:p w:rsidR="00970334" w:rsidRDefault="00430CE3" w:rsidP="00970334">
      <w:r>
        <w:t>4</w:t>
      </w:r>
      <w:r w:rsidR="00970334">
        <w:t xml:space="preserve">. </w:t>
      </w:r>
      <w:r w:rsidR="00970334" w:rsidRPr="00970334">
        <w:t>Основания для отказа в принятии заявления и требуемых документов для проведения процедуры</w:t>
      </w:r>
    </w:p>
    <w:p w:rsidR="00970334" w:rsidRDefault="00970334" w:rsidP="009703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654"/>
        <w:gridCol w:w="3645"/>
      </w:tblGrid>
      <w:tr w:rsidR="00970334" w:rsidRPr="002959CE" w:rsidTr="005D01CD">
        <w:tc>
          <w:tcPr>
            <w:tcW w:w="3384" w:type="dxa"/>
            <w:shd w:val="clear" w:color="auto" w:fill="auto"/>
          </w:tcPr>
          <w:p w:rsidR="00970334" w:rsidRPr="002959CE" w:rsidRDefault="00970334" w:rsidP="00970334">
            <w:pPr>
              <w:rPr>
                <w:sz w:val="22"/>
                <w:szCs w:val="22"/>
              </w:rPr>
            </w:pPr>
            <w:r>
              <w:rPr>
                <w:sz w:val="22"/>
                <w:szCs w:val="22"/>
              </w:rPr>
              <w:t>Основания</w:t>
            </w:r>
            <w:r w:rsidRPr="002959CE">
              <w:rPr>
                <w:sz w:val="22"/>
                <w:szCs w:val="22"/>
              </w:rPr>
              <w:t xml:space="preserve">, </w:t>
            </w:r>
            <w:r>
              <w:rPr>
                <w:sz w:val="22"/>
                <w:szCs w:val="22"/>
              </w:rPr>
              <w:t>указанные в</w:t>
            </w:r>
            <w:r w:rsidRPr="002959CE">
              <w:rPr>
                <w:sz w:val="22"/>
                <w:szCs w:val="22"/>
              </w:rPr>
              <w:t xml:space="preserve"> реестр</w:t>
            </w:r>
            <w:r>
              <w:rPr>
                <w:sz w:val="22"/>
                <w:szCs w:val="22"/>
              </w:rPr>
              <w:t>е</w:t>
            </w:r>
            <w:r w:rsidRPr="002959CE">
              <w:rPr>
                <w:sz w:val="22"/>
                <w:szCs w:val="22"/>
              </w:rPr>
              <w:t xml:space="preserve"> описаний процедур</w:t>
            </w:r>
          </w:p>
        </w:tc>
        <w:tc>
          <w:tcPr>
            <w:tcW w:w="3654" w:type="dxa"/>
            <w:shd w:val="clear" w:color="auto" w:fill="auto"/>
          </w:tcPr>
          <w:p w:rsidR="00970334" w:rsidRPr="002959CE" w:rsidRDefault="00970334" w:rsidP="00970334">
            <w:pPr>
              <w:rPr>
                <w:sz w:val="22"/>
                <w:szCs w:val="22"/>
              </w:rPr>
            </w:pPr>
            <w:r w:rsidRPr="002959CE">
              <w:rPr>
                <w:sz w:val="22"/>
                <w:szCs w:val="22"/>
              </w:rPr>
              <w:t xml:space="preserve">Дополнительные </w:t>
            </w:r>
            <w:r>
              <w:rPr>
                <w:sz w:val="22"/>
                <w:szCs w:val="22"/>
              </w:rPr>
              <w:t>основания</w:t>
            </w:r>
            <w:r w:rsidRPr="002959CE">
              <w:rPr>
                <w:sz w:val="22"/>
                <w:szCs w:val="22"/>
              </w:rPr>
              <w:t>, выявленные по результатам контрольных мероприятий</w:t>
            </w:r>
          </w:p>
        </w:tc>
        <w:tc>
          <w:tcPr>
            <w:tcW w:w="3645" w:type="dxa"/>
            <w:shd w:val="clear" w:color="auto" w:fill="auto"/>
          </w:tcPr>
          <w:p w:rsidR="00970334" w:rsidRPr="002959CE" w:rsidRDefault="00970334" w:rsidP="00970334">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ы дополнительные основания</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384" w:type="dxa"/>
            <w:vMerge/>
            <w:shd w:val="clear" w:color="auto" w:fill="auto"/>
          </w:tcPr>
          <w:p w:rsidR="005D01CD" w:rsidRPr="002959CE" w:rsidRDefault="005D01CD" w:rsidP="006A2E71">
            <w:pPr>
              <w:rPr>
                <w:sz w:val="22"/>
                <w:szCs w:val="22"/>
              </w:rPr>
            </w:pPr>
          </w:p>
        </w:tc>
        <w:tc>
          <w:tcPr>
            <w:tcW w:w="3654" w:type="dxa"/>
            <w:shd w:val="clear" w:color="auto" w:fill="auto"/>
          </w:tcPr>
          <w:p w:rsidR="005D01CD" w:rsidRPr="002959CE" w:rsidRDefault="005D01CD" w:rsidP="006A2E71">
            <w:pPr>
              <w:rPr>
                <w:sz w:val="22"/>
                <w:szCs w:val="22"/>
              </w:rPr>
            </w:pPr>
          </w:p>
        </w:tc>
        <w:tc>
          <w:tcPr>
            <w:tcW w:w="3645" w:type="dxa"/>
            <w:shd w:val="clear" w:color="auto" w:fill="auto"/>
          </w:tcPr>
          <w:p w:rsidR="005D01CD" w:rsidRPr="002959CE" w:rsidRDefault="005D01CD" w:rsidP="006A2E71">
            <w:pPr>
              <w:rPr>
                <w:sz w:val="22"/>
                <w:szCs w:val="22"/>
              </w:rPr>
            </w:pPr>
          </w:p>
        </w:tc>
      </w:tr>
    </w:tbl>
    <w:p w:rsidR="002959CE" w:rsidRDefault="002959CE"/>
    <w:p w:rsidR="00970334" w:rsidRDefault="00430CE3" w:rsidP="00970334">
      <w:r>
        <w:t>5</w:t>
      </w:r>
      <w:r w:rsidR="00970334">
        <w:t xml:space="preserve">. </w:t>
      </w:r>
      <w:r w:rsidR="00970334" w:rsidRPr="00970334">
        <w:t xml:space="preserve">Основания для отказа в выдаче заключения, в том числе в выдаче отрицательного заключения, основание для </w:t>
      </w:r>
      <w:proofErr w:type="spellStart"/>
      <w:r w:rsidR="00970334" w:rsidRPr="00970334">
        <w:t>непредоставления</w:t>
      </w:r>
      <w:proofErr w:type="spellEnd"/>
      <w:r w:rsidR="00970334" w:rsidRPr="00970334">
        <w:t xml:space="preserve"> разрешения или отказа в иной установленной форме заявителю по итогам проведения процедуры</w:t>
      </w:r>
    </w:p>
    <w:p w:rsidR="00970334" w:rsidRDefault="00970334" w:rsidP="009703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654"/>
        <w:gridCol w:w="3645"/>
      </w:tblGrid>
      <w:tr w:rsidR="00970334" w:rsidRPr="002959CE" w:rsidTr="005D01CD">
        <w:tc>
          <w:tcPr>
            <w:tcW w:w="3384" w:type="dxa"/>
            <w:shd w:val="clear" w:color="auto" w:fill="auto"/>
          </w:tcPr>
          <w:p w:rsidR="00970334" w:rsidRPr="002959CE" w:rsidRDefault="00970334" w:rsidP="006A2E71">
            <w:pPr>
              <w:rPr>
                <w:sz w:val="22"/>
                <w:szCs w:val="22"/>
              </w:rPr>
            </w:pPr>
            <w:r>
              <w:rPr>
                <w:sz w:val="22"/>
                <w:szCs w:val="22"/>
              </w:rPr>
              <w:t>Основания</w:t>
            </w:r>
            <w:r w:rsidRPr="002959CE">
              <w:rPr>
                <w:sz w:val="22"/>
                <w:szCs w:val="22"/>
              </w:rPr>
              <w:t xml:space="preserve">, </w:t>
            </w:r>
            <w:r>
              <w:rPr>
                <w:sz w:val="22"/>
                <w:szCs w:val="22"/>
              </w:rPr>
              <w:t>указанные в</w:t>
            </w:r>
            <w:r w:rsidRPr="002959CE">
              <w:rPr>
                <w:sz w:val="22"/>
                <w:szCs w:val="22"/>
              </w:rPr>
              <w:t xml:space="preserve"> реестр</w:t>
            </w:r>
            <w:r>
              <w:rPr>
                <w:sz w:val="22"/>
                <w:szCs w:val="22"/>
              </w:rPr>
              <w:t>е</w:t>
            </w:r>
            <w:r w:rsidRPr="002959CE">
              <w:rPr>
                <w:sz w:val="22"/>
                <w:szCs w:val="22"/>
              </w:rPr>
              <w:t xml:space="preserve"> описаний процедур</w:t>
            </w:r>
          </w:p>
        </w:tc>
        <w:tc>
          <w:tcPr>
            <w:tcW w:w="3654" w:type="dxa"/>
            <w:shd w:val="clear" w:color="auto" w:fill="auto"/>
          </w:tcPr>
          <w:p w:rsidR="00970334" w:rsidRPr="002959CE" w:rsidRDefault="00970334" w:rsidP="006A2E71">
            <w:pPr>
              <w:rPr>
                <w:sz w:val="22"/>
                <w:szCs w:val="22"/>
              </w:rPr>
            </w:pPr>
            <w:r w:rsidRPr="002959CE">
              <w:rPr>
                <w:sz w:val="22"/>
                <w:szCs w:val="22"/>
              </w:rPr>
              <w:t xml:space="preserve">Дополнительные </w:t>
            </w:r>
            <w:r>
              <w:rPr>
                <w:sz w:val="22"/>
                <w:szCs w:val="22"/>
              </w:rPr>
              <w:t>основания</w:t>
            </w:r>
            <w:r w:rsidRPr="002959CE">
              <w:rPr>
                <w:sz w:val="22"/>
                <w:szCs w:val="22"/>
              </w:rPr>
              <w:t>, выявленные по результатам контрольных мероприятий</w:t>
            </w:r>
          </w:p>
        </w:tc>
        <w:tc>
          <w:tcPr>
            <w:tcW w:w="3645" w:type="dxa"/>
            <w:shd w:val="clear" w:color="auto" w:fill="auto"/>
          </w:tcPr>
          <w:p w:rsidR="00970334" w:rsidRPr="002959CE" w:rsidRDefault="00970334" w:rsidP="006A2E71">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ы дополнительные основания</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384" w:type="dxa"/>
            <w:vMerge/>
            <w:shd w:val="clear" w:color="auto" w:fill="auto"/>
          </w:tcPr>
          <w:p w:rsidR="005D01CD" w:rsidRPr="002959CE" w:rsidRDefault="005D01CD" w:rsidP="006A2E71">
            <w:pPr>
              <w:rPr>
                <w:sz w:val="22"/>
                <w:szCs w:val="22"/>
              </w:rPr>
            </w:pPr>
          </w:p>
        </w:tc>
        <w:tc>
          <w:tcPr>
            <w:tcW w:w="3654" w:type="dxa"/>
            <w:shd w:val="clear" w:color="auto" w:fill="auto"/>
          </w:tcPr>
          <w:p w:rsidR="005D01CD" w:rsidRPr="002959CE" w:rsidRDefault="005D01CD" w:rsidP="006A2E71">
            <w:pPr>
              <w:rPr>
                <w:sz w:val="22"/>
                <w:szCs w:val="22"/>
              </w:rPr>
            </w:pPr>
          </w:p>
        </w:tc>
        <w:tc>
          <w:tcPr>
            <w:tcW w:w="3645" w:type="dxa"/>
            <w:shd w:val="clear" w:color="auto" w:fill="auto"/>
          </w:tcPr>
          <w:p w:rsidR="005D01CD" w:rsidRPr="002959CE" w:rsidRDefault="005D01CD" w:rsidP="006A2E71">
            <w:pPr>
              <w:rPr>
                <w:sz w:val="22"/>
                <w:szCs w:val="22"/>
              </w:rPr>
            </w:pPr>
          </w:p>
        </w:tc>
      </w:tr>
    </w:tbl>
    <w:p w:rsidR="002959CE" w:rsidRDefault="002959CE"/>
    <w:p w:rsidR="00FE6E6D" w:rsidRDefault="00FE6E6D"/>
    <w:p w:rsidR="00FE6E6D" w:rsidRDefault="00FE6E6D"/>
    <w:p w:rsidR="005D01CD" w:rsidRDefault="00430CE3" w:rsidP="005D01CD">
      <w:r>
        <w:lastRenderedPageBreak/>
        <w:t>6</w:t>
      </w:r>
      <w:r w:rsidR="005D01CD">
        <w:t xml:space="preserve">. </w:t>
      </w:r>
      <w:r w:rsidR="005D01CD" w:rsidRPr="005D01CD">
        <w:t>Срок проведения процедуры</w:t>
      </w:r>
    </w:p>
    <w:p w:rsidR="005D01CD" w:rsidRDefault="005D01CD" w:rsidP="005D01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659"/>
        <w:gridCol w:w="3616"/>
      </w:tblGrid>
      <w:tr w:rsidR="005D01CD" w:rsidRPr="002959CE" w:rsidTr="005D01CD">
        <w:tc>
          <w:tcPr>
            <w:tcW w:w="3408" w:type="dxa"/>
            <w:shd w:val="clear" w:color="auto" w:fill="auto"/>
          </w:tcPr>
          <w:p w:rsidR="005D01CD" w:rsidRPr="002959CE" w:rsidRDefault="005D01CD" w:rsidP="005D01CD">
            <w:pPr>
              <w:rPr>
                <w:sz w:val="22"/>
                <w:szCs w:val="22"/>
              </w:rPr>
            </w:pPr>
            <w:r>
              <w:rPr>
                <w:sz w:val="22"/>
                <w:szCs w:val="22"/>
              </w:rPr>
              <w:t>Срок</w:t>
            </w:r>
            <w:r w:rsidRPr="002959CE">
              <w:rPr>
                <w:sz w:val="22"/>
                <w:szCs w:val="22"/>
              </w:rPr>
              <w:t xml:space="preserve">, </w:t>
            </w:r>
            <w:r>
              <w:rPr>
                <w:sz w:val="22"/>
                <w:szCs w:val="22"/>
              </w:rPr>
              <w:t>указанный в</w:t>
            </w:r>
            <w:r w:rsidRPr="002959CE">
              <w:rPr>
                <w:sz w:val="22"/>
                <w:szCs w:val="22"/>
              </w:rPr>
              <w:t xml:space="preserve"> реестр</w:t>
            </w:r>
            <w:r>
              <w:rPr>
                <w:sz w:val="22"/>
                <w:szCs w:val="22"/>
              </w:rPr>
              <w:t>е</w:t>
            </w:r>
            <w:r w:rsidRPr="002959CE">
              <w:rPr>
                <w:sz w:val="22"/>
                <w:szCs w:val="22"/>
              </w:rPr>
              <w:t xml:space="preserve"> описаний процедур</w:t>
            </w:r>
          </w:p>
        </w:tc>
        <w:tc>
          <w:tcPr>
            <w:tcW w:w="3659" w:type="dxa"/>
            <w:shd w:val="clear" w:color="auto" w:fill="auto"/>
          </w:tcPr>
          <w:p w:rsidR="005D01CD" w:rsidRPr="002959CE" w:rsidRDefault="005D01CD" w:rsidP="006A2E71">
            <w:pPr>
              <w:rPr>
                <w:sz w:val="22"/>
                <w:szCs w:val="22"/>
              </w:rPr>
            </w:pPr>
            <w:r>
              <w:rPr>
                <w:sz w:val="22"/>
                <w:szCs w:val="22"/>
              </w:rPr>
              <w:t>Отклонения от установленного срока</w:t>
            </w:r>
            <w:r w:rsidRPr="002959CE">
              <w:rPr>
                <w:sz w:val="22"/>
                <w:szCs w:val="22"/>
              </w:rPr>
              <w:t>, выявленные по результатам контрольных мероприятий</w:t>
            </w:r>
          </w:p>
        </w:tc>
        <w:tc>
          <w:tcPr>
            <w:tcW w:w="3616" w:type="dxa"/>
            <w:shd w:val="clear" w:color="auto" w:fill="auto"/>
          </w:tcPr>
          <w:p w:rsidR="005D01CD" w:rsidRPr="002959CE" w:rsidRDefault="005D01CD" w:rsidP="005D01CD">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 xml:space="preserve">ы иные сроки по отношению </w:t>
            </w:r>
            <w:proofErr w:type="gramStart"/>
            <w:r>
              <w:rPr>
                <w:sz w:val="22"/>
                <w:szCs w:val="22"/>
              </w:rPr>
              <w:t>к</w:t>
            </w:r>
            <w:proofErr w:type="gramEnd"/>
            <w:r>
              <w:rPr>
                <w:sz w:val="22"/>
                <w:szCs w:val="22"/>
              </w:rPr>
              <w:t xml:space="preserve"> указанным в реестре описаний</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408" w:type="dxa"/>
            <w:vMerge/>
            <w:shd w:val="clear" w:color="auto" w:fill="auto"/>
          </w:tcPr>
          <w:p w:rsidR="005D01CD" w:rsidRPr="002959CE" w:rsidRDefault="005D01CD" w:rsidP="006A2E71">
            <w:pPr>
              <w:rPr>
                <w:sz w:val="22"/>
                <w:szCs w:val="22"/>
              </w:rPr>
            </w:pPr>
          </w:p>
        </w:tc>
        <w:tc>
          <w:tcPr>
            <w:tcW w:w="3659" w:type="dxa"/>
            <w:shd w:val="clear" w:color="auto" w:fill="auto"/>
          </w:tcPr>
          <w:p w:rsidR="005D01CD" w:rsidRPr="002959CE" w:rsidRDefault="005D01CD" w:rsidP="006A2E71">
            <w:pPr>
              <w:rPr>
                <w:sz w:val="22"/>
                <w:szCs w:val="22"/>
              </w:rPr>
            </w:pPr>
          </w:p>
        </w:tc>
        <w:tc>
          <w:tcPr>
            <w:tcW w:w="3616" w:type="dxa"/>
            <w:shd w:val="clear" w:color="auto" w:fill="auto"/>
          </w:tcPr>
          <w:p w:rsidR="005D01CD" w:rsidRPr="002959CE" w:rsidRDefault="005D01CD" w:rsidP="006A2E71">
            <w:pPr>
              <w:rPr>
                <w:sz w:val="22"/>
                <w:szCs w:val="22"/>
              </w:rPr>
            </w:pPr>
          </w:p>
        </w:tc>
      </w:tr>
    </w:tbl>
    <w:p w:rsidR="005D01CD" w:rsidRDefault="005D01CD" w:rsidP="005D01CD"/>
    <w:p w:rsidR="005D01CD" w:rsidRDefault="00430CE3" w:rsidP="005D01CD">
      <w:r>
        <w:t>7</w:t>
      </w:r>
      <w:r w:rsidR="005D01CD">
        <w:t xml:space="preserve">. </w:t>
      </w:r>
      <w:r w:rsidR="005D01CD" w:rsidRPr="005D01CD">
        <w:t>Стоимость проведения процедуры для заявителя или порядок определения такой стоимости</w:t>
      </w:r>
    </w:p>
    <w:p w:rsidR="005D01CD" w:rsidRDefault="005D01CD" w:rsidP="005D01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3621"/>
        <w:gridCol w:w="3615"/>
      </w:tblGrid>
      <w:tr w:rsidR="005D01CD" w:rsidRPr="002959CE" w:rsidTr="005D01CD">
        <w:tc>
          <w:tcPr>
            <w:tcW w:w="3447" w:type="dxa"/>
            <w:shd w:val="clear" w:color="auto" w:fill="auto"/>
          </w:tcPr>
          <w:p w:rsidR="005D01CD" w:rsidRPr="002959CE" w:rsidRDefault="005D01CD" w:rsidP="005D01CD">
            <w:pPr>
              <w:rPr>
                <w:sz w:val="22"/>
                <w:szCs w:val="22"/>
              </w:rPr>
            </w:pPr>
            <w:r>
              <w:rPr>
                <w:sz w:val="22"/>
                <w:szCs w:val="22"/>
              </w:rPr>
              <w:t>Стоимость</w:t>
            </w:r>
            <w:r w:rsidRPr="002959CE">
              <w:rPr>
                <w:sz w:val="22"/>
                <w:szCs w:val="22"/>
              </w:rPr>
              <w:t xml:space="preserve">, </w:t>
            </w:r>
            <w:r>
              <w:rPr>
                <w:sz w:val="22"/>
                <w:szCs w:val="22"/>
              </w:rPr>
              <w:t>указанная в</w:t>
            </w:r>
            <w:r w:rsidRPr="002959CE">
              <w:rPr>
                <w:sz w:val="22"/>
                <w:szCs w:val="22"/>
              </w:rPr>
              <w:t xml:space="preserve"> реестр</w:t>
            </w:r>
            <w:r>
              <w:rPr>
                <w:sz w:val="22"/>
                <w:szCs w:val="22"/>
              </w:rPr>
              <w:t>е</w:t>
            </w:r>
            <w:r w:rsidRPr="002959CE">
              <w:rPr>
                <w:sz w:val="22"/>
                <w:szCs w:val="22"/>
              </w:rPr>
              <w:t xml:space="preserve"> описаний процедур</w:t>
            </w:r>
          </w:p>
        </w:tc>
        <w:tc>
          <w:tcPr>
            <w:tcW w:w="3621" w:type="dxa"/>
            <w:shd w:val="clear" w:color="auto" w:fill="auto"/>
          </w:tcPr>
          <w:p w:rsidR="005D01CD" w:rsidRPr="002959CE" w:rsidRDefault="005D01CD" w:rsidP="005D01CD">
            <w:pPr>
              <w:rPr>
                <w:sz w:val="22"/>
                <w:szCs w:val="22"/>
              </w:rPr>
            </w:pPr>
            <w:r>
              <w:rPr>
                <w:sz w:val="22"/>
                <w:szCs w:val="22"/>
              </w:rPr>
              <w:t>Отклонения от установленной стоимости</w:t>
            </w:r>
            <w:r w:rsidRPr="002959CE">
              <w:rPr>
                <w:sz w:val="22"/>
                <w:szCs w:val="22"/>
              </w:rPr>
              <w:t>, выявленные по результатам контрольных мероприятий</w:t>
            </w:r>
          </w:p>
        </w:tc>
        <w:tc>
          <w:tcPr>
            <w:tcW w:w="3615" w:type="dxa"/>
            <w:shd w:val="clear" w:color="auto" w:fill="auto"/>
          </w:tcPr>
          <w:p w:rsidR="005D01CD" w:rsidRPr="002959CE" w:rsidRDefault="005D01CD" w:rsidP="005D01CD">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 xml:space="preserve">а иная стоимость по отношению </w:t>
            </w:r>
            <w:proofErr w:type="gramStart"/>
            <w:r>
              <w:rPr>
                <w:sz w:val="22"/>
                <w:szCs w:val="22"/>
              </w:rPr>
              <w:t>к</w:t>
            </w:r>
            <w:proofErr w:type="gramEnd"/>
            <w:r>
              <w:rPr>
                <w:sz w:val="22"/>
                <w:szCs w:val="22"/>
              </w:rPr>
              <w:t xml:space="preserve"> указанной в реестре описаний</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447" w:type="dxa"/>
            <w:vMerge/>
            <w:shd w:val="clear" w:color="auto" w:fill="auto"/>
          </w:tcPr>
          <w:p w:rsidR="005D01CD" w:rsidRPr="002959CE" w:rsidRDefault="005D01CD" w:rsidP="006A2E71">
            <w:pPr>
              <w:rPr>
                <w:sz w:val="22"/>
                <w:szCs w:val="22"/>
              </w:rPr>
            </w:pPr>
          </w:p>
        </w:tc>
        <w:tc>
          <w:tcPr>
            <w:tcW w:w="3621" w:type="dxa"/>
            <w:shd w:val="clear" w:color="auto" w:fill="auto"/>
          </w:tcPr>
          <w:p w:rsidR="005D01CD" w:rsidRPr="002959CE" w:rsidRDefault="005D01CD" w:rsidP="006A2E71">
            <w:pPr>
              <w:rPr>
                <w:sz w:val="22"/>
                <w:szCs w:val="22"/>
              </w:rPr>
            </w:pPr>
          </w:p>
        </w:tc>
        <w:tc>
          <w:tcPr>
            <w:tcW w:w="3615" w:type="dxa"/>
            <w:shd w:val="clear" w:color="auto" w:fill="auto"/>
          </w:tcPr>
          <w:p w:rsidR="005D01CD" w:rsidRPr="002959CE" w:rsidRDefault="005D01CD" w:rsidP="006A2E71">
            <w:pPr>
              <w:rPr>
                <w:sz w:val="22"/>
                <w:szCs w:val="22"/>
              </w:rPr>
            </w:pPr>
          </w:p>
        </w:tc>
      </w:tr>
    </w:tbl>
    <w:p w:rsidR="005D01CD" w:rsidRDefault="005D01CD" w:rsidP="005D01CD"/>
    <w:p w:rsidR="005D01CD" w:rsidRDefault="00430CE3" w:rsidP="005D01CD">
      <w:r>
        <w:t>8</w:t>
      </w:r>
      <w:r w:rsidR="005D01CD">
        <w:t xml:space="preserve">. </w:t>
      </w:r>
      <w:r w:rsidR="005D01CD" w:rsidRPr="005D01CD">
        <w:t>Форма подачи заявителем документов на проведение процедуры (на бумажном носителе или в электронной форме)</w:t>
      </w:r>
    </w:p>
    <w:p w:rsidR="005D01CD" w:rsidRDefault="005D01CD" w:rsidP="005D01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521"/>
        <w:gridCol w:w="3700"/>
      </w:tblGrid>
      <w:tr w:rsidR="005D01CD" w:rsidRPr="002959CE" w:rsidTr="005D01CD">
        <w:tc>
          <w:tcPr>
            <w:tcW w:w="3462" w:type="dxa"/>
            <w:shd w:val="clear" w:color="auto" w:fill="auto"/>
          </w:tcPr>
          <w:p w:rsidR="005D01CD" w:rsidRPr="002959CE" w:rsidRDefault="005D01CD" w:rsidP="006A2E71">
            <w:pPr>
              <w:rPr>
                <w:sz w:val="22"/>
                <w:szCs w:val="22"/>
              </w:rPr>
            </w:pPr>
            <w:r w:rsidRPr="005D01CD">
              <w:rPr>
                <w:sz w:val="22"/>
                <w:szCs w:val="22"/>
              </w:rPr>
              <w:t>Форма подачи заявителем документов на проведение процедуры</w:t>
            </w:r>
          </w:p>
        </w:tc>
        <w:tc>
          <w:tcPr>
            <w:tcW w:w="3521" w:type="dxa"/>
            <w:shd w:val="clear" w:color="auto" w:fill="auto"/>
          </w:tcPr>
          <w:p w:rsidR="005D01CD" w:rsidRPr="002959CE" w:rsidRDefault="005D01CD" w:rsidP="005D01CD">
            <w:pPr>
              <w:rPr>
                <w:sz w:val="22"/>
                <w:szCs w:val="22"/>
              </w:rPr>
            </w:pPr>
            <w:r>
              <w:rPr>
                <w:sz w:val="22"/>
                <w:szCs w:val="22"/>
              </w:rPr>
              <w:t>Формы подачи документов</w:t>
            </w:r>
            <w:r w:rsidRPr="002959CE">
              <w:rPr>
                <w:sz w:val="22"/>
                <w:szCs w:val="22"/>
              </w:rPr>
              <w:t>, выявленные по результатам контрольных мероприятий</w:t>
            </w:r>
          </w:p>
        </w:tc>
        <w:tc>
          <w:tcPr>
            <w:tcW w:w="3700" w:type="dxa"/>
            <w:shd w:val="clear" w:color="auto" w:fill="auto"/>
          </w:tcPr>
          <w:p w:rsidR="005D01CD" w:rsidRPr="002959CE" w:rsidRDefault="005D01CD" w:rsidP="005D01CD">
            <w:pPr>
              <w:rPr>
                <w:sz w:val="22"/>
                <w:szCs w:val="22"/>
              </w:rPr>
            </w:pPr>
            <w:r w:rsidRPr="002959CE">
              <w:rPr>
                <w:sz w:val="22"/>
                <w:szCs w:val="22"/>
              </w:rPr>
              <w:t>Наименование и структурные единицы нормативных правовых актов, которыми установлен</w:t>
            </w:r>
            <w:r>
              <w:rPr>
                <w:sz w:val="22"/>
                <w:szCs w:val="22"/>
              </w:rPr>
              <w:t>ы дополнительные формы подачи документов, либо ограничения на формы подачи документов</w:t>
            </w:r>
          </w:p>
        </w:tc>
      </w:tr>
      <w:tr w:rsidR="005D01CD" w:rsidRPr="002959CE" w:rsidTr="006A2E71">
        <w:tc>
          <w:tcPr>
            <w:tcW w:w="5205" w:type="dxa"/>
            <w:vMerge w:val="restart"/>
            <w:shd w:val="clear" w:color="auto" w:fill="auto"/>
          </w:tcPr>
          <w:p w:rsidR="005D01CD" w:rsidRPr="002959CE" w:rsidRDefault="005D01CD" w:rsidP="006A2E71">
            <w:pPr>
              <w:rPr>
                <w:sz w:val="22"/>
                <w:szCs w:val="22"/>
              </w:rPr>
            </w:pPr>
          </w:p>
        </w:tc>
        <w:tc>
          <w:tcPr>
            <w:tcW w:w="5205" w:type="dxa"/>
            <w:shd w:val="clear" w:color="auto" w:fill="auto"/>
          </w:tcPr>
          <w:p w:rsidR="005D01CD" w:rsidRPr="002959CE" w:rsidRDefault="005D01CD" w:rsidP="006A2E71">
            <w:pPr>
              <w:rPr>
                <w:sz w:val="22"/>
                <w:szCs w:val="22"/>
              </w:rPr>
            </w:pPr>
          </w:p>
        </w:tc>
        <w:tc>
          <w:tcPr>
            <w:tcW w:w="5206" w:type="dxa"/>
            <w:shd w:val="clear" w:color="auto" w:fill="auto"/>
          </w:tcPr>
          <w:p w:rsidR="005D01CD" w:rsidRPr="002959CE" w:rsidRDefault="005D01CD" w:rsidP="006A2E71">
            <w:pPr>
              <w:rPr>
                <w:sz w:val="22"/>
                <w:szCs w:val="22"/>
              </w:rPr>
            </w:pPr>
          </w:p>
        </w:tc>
      </w:tr>
      <w:tr w:rsidR="005D01CD" w:rsidRPr="002959CE" w:rsidTr="005D01CD">
        <w:tc>
          <w:tcPr>
            <w:tcW w:w="3462" w:type="dxa"/>
            <w:vMerge/>
            <w:shd w:val="clear" w:color="auto" w:fill="auto"/>
          </w:tcPr>
          <w:p w:rsidR="005D01CD" w:rsidRPr="002959CE" w:rsidRDefault="005D01CD" w:rsidP="006A2E71">
            <w:pPr>
              <w:rPr>
                <w:sz w:val="22"/>
                <w:szCs w:val="22"/>
              </w:rPr>
            </w:pPr>
          </w:p>
        </w:tc>
        <w:tc>
          <w:tcPr>
            <w:tcW w:w="3521" w:type="dxa"/>
            <w:shd w:val="clear" w:color="auto" w:fill="auto"/>
          </w:tcPr>
          <w:p w:rsidR="005D01CD" w:rsidRPr="002959CE" w:rsidRDefault="005D01CD" w:rsidP="006A2E71">
            <w:pPr>
              <w:rPr>
                <w:sz w:val="22"/>
                <w:szCs w:val="22"/>
              </w:rPr>
            </w:pPr>
          </w:p>
        </w:tc>
        <w:tc>
          <w:tcPr>
            <w:tcW w:w="3700" w:type="dxa"/>
            <w:shd w:val="clear" w:color="auto" w:fill="auto"/>
          </w:tcPr>
          <w:p w:rsidR="005D01CD" w:rsidRPr="002959CE" w:rsidRDefault="005D01CD" w:rsidP="006A2E71">
            <w:pPr>
              <w:rPr>
                <w:sz w:val="22"/>
                <w:szCs w:val="22"/>
              </w:rPr>
            </w:pPr>
          </w:p>
        </w:tc>
      </w:tr>
    </w:tbl>
    <w:p w:rsidR="00882664" w:rsidRDefault="00882664"/>
    <w:p w:rsidR="00882664" w:rsidRDefault="00882664"/>
    <w:sectPr w:rsidR="00882664" w:rsidSect="00430CE3">
      <w:headerReference w:type="default" r:id="rId10"/>
      <w:pgSz w:w="11907" w:h="16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08" w:rsidRDefault="00D77808" w:rsidP="002959CE">
      <w:r>
        <w:separator/>
      </w:r>
    </w:p>
  </w:endnote>
  <w:endnote w:type="continuationSeparator" w:id="0">
    <w:p w:rsidR="00D77808" w:rsidRDefault="00D77808" w:rsidP="0029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08" w:rsidRDefault="00D77808" w:rsidP="002959CE">
      <w:r>
        <w:separator/>
      </w:r>
    </w:p>
  </w:footnote>
  <w:footnote w:type="continuationSeparator" w:id="0">
    <w:p w:rsidR="00D77808" w:rsidRDefault="00D77808" w:rsidP="002959CE">
      <w:r>
        <w:continuationSeparator/>
      </w:r>
    </w:p>
  </w:footnote>
  <w:footnote w:id="1">
    <w:p w:rsidR="0076728E" w:rsidRDefault="0076728E" w:rsidP="00611E1D">
      <w:pPr>
        <w:pStyle w:val="aa"/>
        <w:ind w:left="567"/>
      </w:pPr>
      <w:r>
        <w:rPr>
          <w:rStyle w:val="ac"/>
        </w:rPr>
        <w:footnoteRef/>
      </w:r>
      <w:proofErr w:type="gramStart"/>
      <w:r>
        <w:t xml:space="preserve">Если не было </w:t>
      </w:r>
      <w:r w:rsidRPr="00960E4E">
        <w:t>перераспределен</w:t>
      </w:r>
      <w:r>
        <w:t xml:space="preserve">ия полномочий </w:t>
      </w:r>
      <w:r w:rsidRPr="00960E4E">
        <w:t xml:space="preserve">между </w:t>
      </w:r>
      <w:r>
        <w:t xml:space="preserve">органами государственной власти субъекта Российской Федерации и </w:t>
      </w:r>
      <w:r w:rsidRPr="00730B09">
        <w:t xml:space="preserve">органами местного самоуправления </w:t>
      </w:r>
      <w:r w:rsidRPr="00960E4E">
        <w:t>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r>
        <w:t>, в результате которого полномочия по осуществлению указанных процедур переданы органам государственной власти субъекта Российской Федерации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6D" w:rsidRDefault="00FE6E6D">
    <w:pPr>
      <w:pStyle w:val="a4"/>
      <w:jc w:val="center"/>
    </w:pPr>
    <w:r>
      <w:fldChar w:fldCharType="begin"/>
    </w:r>
    <w:r>
      <w:instrText>PAGE   \* MERGEFORMAT</w:instrText>
    </w:r>
    <w:r>
      <w:fldChar w:fldCharType="separate"/>
    </w:r>
    <w:r w:rsidR="007F3397">
      <w:rPr>
        <w:noProof/>
      </w:rPr>
      <w:t>2</w:t>
    </w:r>
    <w:r>
      <w:fldChar w:fldCharType="end"/>
    </w:r>
  </w:p>
  <w:p w:rsidR="00FE6E6D" w:rsidRDefault="00FE6E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0DC5"/>
    <w:multiLevelType w:val="hybridMultilevel"/>
    <w:tmpl w:val="DE46C6CC"/>
    <w:lvl w:ilvl="0" w:tplc="CB3E9E8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DF"/>
    <w:rsid w:val="000203D9"/>
    <w:rsid w:val="000263E9"/>
    <w:rsid w:val="0007261B"/>
    <w:rsid w:val="000C3B6B"/>
    <w:rsid w:val="001215B4"/>
    <w:rsid w:val="0014039D"/>
    <w:rsid w:val="002959CE"/>
    <w:rsid w:val="00430CE3"/>
    <w:rsid w:val="00546369"/>
    <w:rsid w:val="005D01CD"/>
    <w:rsid w:val="00611E1D"/>
    <w:rsid w:val="0076728E"/>
    <w:rsid w:val="007F3397"/>
    <w:rsid w:val="00882664"/>
    <w:rsid w:val="00970334"/>
    <w:rsid w:val="009F1FA8"/>
    <w:rsid w:val="00A34891"/>
    <w:rsid w:val="00C34EDF"/>
    <w:rsid w:val="00C93B9F"/>
    <w:rsid w:val="00CF77AB"/>
    <w:rsid w:val="00D77808"/>
    <w:rsid w:val="00EC08B5"/>
    <w:rsid w:val="00F129EB"/>
    <w:rsid w:val="00FE6E6D"/>
    <w:rsid w:val="00FF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table" w:styleId="a3">
    <w:name w:val="Table Grid"/>
    <w:basedOn w:val="a1"/>
    <w:uiPriority w:val="59"/>
    <w:rsid w:val="0088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9CE"/>
    <w:pPr>
      <w:tabs>
        <w:tab w:val="center" w:pos="4677"/>
        <w:tab w:val="right" w:pos="9355"/>
      </w:tabs>
    </w:pPr>
  </w:style>
  <w:style w:type="character" w:customStyle="1" w:styleId="a5">
    <w:name w:val="Верхний колонтитул Знак"/>
    <w:link w:val="a4"/>
    <w:uiPriority w:val="99"/>
    <w:rsid w:val="002959CE"/>
    <w:rPr>
      <w:rFonts w:ascii="Arial" w:hAnsi="Arial" w:cs="Arial"/>
      <w:color w:val="000000"/>
      <w:sz w:val="24"/>
      <w:szCs w:val="24"/>
    </w:rPr>
  </w:style>
  <w:style w:type="paragraph" w:styleId="a6">
    <w:name w:val="footer"/>
    <w:basedOn w:val="a"/>
    <w:link w:val="a7"/>
    <w:uiPriority w:val="99"/>
    <w:unhideWhenUsed/>
    <w:rsid w:val="002959CE"/>
    <w:pPr>
      <w:tabs>
        <w:tab w:val="center" w:pos="4677"/>
        <w:tab w:val="right" w:pos="9355"/>
      </w:tabs>
    </w:pPr>
  </w:style>
  <w:style w:type="character" w:customStyle="1" w:styleId="a7">
    <w:name w:val="Нижний колонтитул Знак"/>
    <w:link w:val="a6"/>
    <w:uiPriority w:val="99"/>
    <w:rsid w:val="002959CE"/>
    <w:rPr>
      <w:rFonts w:ascii="Arial" w:hAnsi="Arial" w:cs="Arial"/>
      <w:color w:val="000000"/>
      <w:sz w:val="24"/>
      <w:szCs w:val="24"/>
    </w:rPr>
  </w:style>
  <w:style w:type="paragraph" w:styleId="a8">
    <w:name w:val="Balloon Text"/>
    <w:basedOn w:val="a"/>
    <w:link w:val="a9"/>
    <w:uiPriority w:val="99"/>
    <w:semiHidden/>
    <w:unhideWhenUsed/>
    <w:rsid w:val="000C3B6B"/>
    <w:rPr>
      <w:rFonts w:ascii="Segoe UI" w:hAnsi="Segoe UI" w:cs="Segoe UI"/>
      <w:sz w:val="18"/>
      <w:szCs w:val="18"/>
    </w:rPr>
  </w:style>
  <w:style w:type="character" w:customStyle="1" w:styleId="a9">
    <w:name w:val="Текст выноски Знак"/>
    <w:basedOn w:val="a0"/>
    <w:link w:val="a8"/>
    <w:uiPriority w:val="99"/>
    <w:semiHidden/>
    <w:rsid w:val="000C3B6B"/>
    <w:rPr>
      <w:rFonts w:ascii="Segoe UI" w:hAnsi="Segoe UI" w:cs="Segoe UI"/>
      <w:color w:val="000000"/>
      <w:sz w:val="18"/>
      <w:szCs w:val="18"/>
    </w:rPr>
  </w:style>
  <w:style w:type="paragraph" w:customStyle="1" w:styleId="ConsPlusNormal">
    <w:name w:val="ConsPlusNormal"/>
    <w:rsid w:val="0076728E"/>
    <w:pPr>
      <w:widowControl w:val="0"/>
      <w:autoSpaceDE w:val="0"/>
      <w:autoSpaceDN w:val="0"/>
      <w:adjustRightInd w:val="0"/>
    </w:pPr>
    <w:rPr>
      <w:rFonts w:ascii="Arial" w:eastAsiaTheme="minorEastAsia" w:hAnsi="Arial" w:cs="Arial"/>
    </w:rPr>
  </w:style>
  <w:style w:type="paragraph" w:styleId="aa">
    <w:name w:val="footnote text"/>
    <w:basedOn w:val="a"/>
    <w:link w:val="ab"/>
    <w:uiPriority w:val="99"/>
    <w:semiHidden/>
    <w:unhideWhenUsed/>
    <w:rsid w:val="0076728E"/>
    <w:pPr>
      <w:widowControl/>
      <w:autoSpaceDE/>
      <w:autoSpaceDN/>
      <w:adjustRightInd/>
      <w:ind w:firstLine="709"/>
      <w:jc w:val="both"/>
    </w:pPr>
    <w:rPr>
      <w:rFonts w:ascii="Times New Roman" w:eastAsiaTheme="minorHAnsi" w:hAnsi="Times New Roman" w:cs="Times New Roman"/>
      <w:color w:val="auto"/>
      <w:sz w:val="20"/>
      <w:szCs w:val="20"/>
      <w:lang w:eastAsia="en-US"/>
    </w:rPr>
  </w:style>
  <w:style w:type="character" w:customStyle="1" w:styleId="ab">
    <w:name w:val="Текст сноски Знак"/>
    <w:basedOn w:val="a0"/>
    <w:link w:val="aa"/>
    <w:uiPriority w:val="99"/>
    <w:semiHidden/>
    <w:rsid w:val="0076728E"/>
    <w:rPr>
      <w:rFonts w:ascii="Times New Roman" w:eastAsiaTheme="minorHAnsi" w:hAnsi="Times New Roman"/>
      <w:lang w:eastAsia="en-US"/>
    </w:rPr>
  </w:style>
  <w:style w:type="character" w:styleId="ac">
    <w:name w:val="footnote reference"/>
    <w:basedOn w:val="a0"/>
    <w:uiPriority w:val="99"/>
    <w:semiHidden/>
    <w:unhideWhenUsed/>
    <w:rsid w:val="0076728E"/>
    <w:rPr>
      <w:vertAlign w:val="superscript"/>
    </w:rPr>
  </w:style>
  <w:style w:type="paragraph" w:styleId="ad">
    <w:name w:val="List Paragraph"/>
    <w:basedOn w:val="a"/>
    <w:uiPriority w:val="34"/>
    <w:qFormat/>
    <w:rsid w:val="0076728E"/>
    <w:pPr>
      <w:widowControl/>
      <w:autoSpaceDE/>
      <w:autoSpaceDN/>
      <w:adjustRightInd/>
      <w:ind w:left="720" w:firstLine="709"/>
      <w:contextualSpacing/>
      <w:jc w:val="both"/>
    </w:pPr>
    <w:rPr>
      <w:rFonts w:ascii="Times New Roman" w:eastAsiaTheme="minorHAnsi" w:hAnsi="Times New Roman" w:cs="Times New Roman"/>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table" w:styleId="a3">
    <w:name w:val="Table Grid"/>
    <w:basedOn w:val="a1"/>
    <w:uiPriority w:val="59"/>
    <w:rsid w:val="0088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9CE"/>
    <w:pPr>
      <w:tabs>
        <w:tab w:val="center" w:pos="4677"/>
        <w:tab w:val="right" w:pos="9355"/>
      </w:tabs>
    </w:pPr>
  </w:style>
  <w:style w:type="character" w:customStyle="1" w:styleId="a5">
    <w:name w:val="Верхний колонтитул Знак"/>
    <w:link w:val="a4"/>
    <w:uiPriority w:val="99"/>
    <w:rsid w:val="002959CE"/>
    <w:rPr>
      <w:rFonts w:ascii="Arial" w:hAnsi="Arial" w:cs="Arial"/>
      <w:color w:val="000000"/>
      <w:sz w:val="24"/>
      <w:szCs w:val="24"/>
    </w:rPr>
  </w:style>
  <w:style w:type="paragraph" w:styleId="a6">
    <w:name w:val="footer"/>
    <w:basedOn w:val="a"/>
    <w:link w:val="a7"/>
    <w:uiPriority w:val="99"/>
    <w:unhideWhenUsed/>
    <w:rsid w:val="002959CE"/>
    <w:pPr>
      <w:tabs>
        <w:tab w:val="center" w:pos="4677"/>
        <w:tab w:val="right" w:pos="9355"/>
      </w:tabs>
    </w:pPr>
  </w:style>
  <w:style w:type="character" w:customStyle="1" w:styleId="a7">
    <w:name w:val="Нижний колонтитул Знак"/>
    <w:link w:val="a6"/>
    <w:uiPriority w:val="99"/>
    <w:rsid w:val="002959CE"/>
    <w:rPr>
      <w:rFonts w:ascii="Arial" w:hAnsi="Arial" w:cs="Arial"/>
      <w:color w:val="000000"/>
      <w:sz w:val="24"/>
      <w:szCs w:val="24"/>
    </w:rPr>
  </w:style>
  <w:style w:type="paragraph" w:styleId="a8">
    <w:name w:val="Balloon Text"/>
    <w:basedOn w:val="a"/>
    <w:link w:val="a9"/>
    <w:uiPriority w:val="99"/>
    <w:semiHidden/>
    <w:unhideWhenUsed/>
    <w:rsid w:val="000C3B6B"/>
    <w:rPr>
      <w:rFonts w:ascii="Segoe UI" w:hAnsi="Segoe UI" w:cs="Segoe UI"/>
      <w:sz w:val="18"/>
      <w:szCs w:val="18"/>
    </w:rPr>
  </w:style>
  <w:style w:type="character" w:customStyle="1" w:styleId="a9">
    <w:name w:val="Текст выноски Знак"/>
    <w:basedOn w:val="a0"/>
    <w:link w:val="a8"/>
    <w:uiPriority w:val="99"/>
    <w:semiHidden/>
    <w:rsid w:val="000C3B6B"/>
    <w:rPr>
      <w:rFonts w:ascii="Segoe UI" w:hAnsi="Segoe UI" w:cs="Segoe UI"/>
      <w:color w:val="000000"/>
      <w:sz w:val="18"/>
      <w:szCs w:val="18"/>
    </w:rPr>
  </w:style>
  <w:style w:type="paragraph" w:customStyle="1" w:styleId="ConsPlusNormal">
    <w:name w:val="ConsPlusNormal"/>
    <w:rsid w:val="0076728E"/>
    <w:pPr>
      <w:widowControl w:val="0"/>
      <w:autoSpaceDE w:val="0"/>
      <w:autoSpaceDN w:val="0"/>
      <w:adjustRightInd w:val="0"/>
    </w:pPr>
    <w:rPr>
      <w:rFonts w:ascii="Arial" w:eastAsiaTheme="minorEastAsia" w:hAnsi="Arial" w:cs="Arial"/>
    </w:rPr>
  </w:style>
  <w:style w:type="paragraph" w:styleId="aa">
    <w:name w:val="footnote text"/>
    <w:basedOn w:val="a"/>
    <w:link w:val="ab"/>
    <w:uiPriority w:val="99"/>
    <w:semiHidden/>
    <w:unhideWhenUsed/>
    <w:rsid w:val="0076728E"/>
    <w:pPr>
      <w:widowControl/>
      <w:autoSpaceDE/>
      <w:autoSpaceDN/>
      <w:adjustRightInd/>
      <w:ind w:firstLine="709"/>
      <w:jc w:val="both"/>
    </w:pPr>
    <w:rPr>
      <w:rFonts w:ascii="Times New Roman" w:eastAsiaTheme="minorHAnsi" w:hAnsi="Times New Roman" w:cs="Times New Roman"/>
      <w:color w:val="auto"/>
      <w:sz w:val="20"/>
      <w:szCs w:val="20"/>
      <w:lang w:eastAsia="en-US"/>
    </w:rPr>
  </w:style>
  <w:style w:type="character" w:customStyle="1" w:styleId="ab">
    <w:name w:val="Текст сноски Знак"/>
    <w:basedOn w:val="a0"/>
    <w:link w:val="aa"/>
    <w:uiPriority w:val="99"/>
    <w:semiHidden/>
    <w:rsid w:val="0076728E"/>
    <w:rPr>
      <w:rFonts w:ascii="Times New Roman" w:eastAsiaTheme="minorHAnsi" w:hAnsi="Times New Roman"/>
      <w:lang w:eastAsia="en-US"/>
    </w:rPr>
  </w:style>
  <w:style w:type="character" w:styleId="ac">
    <w:name w:val="footnote reference"/>
    <w:basedOn w:val="a0"/>
    <w:uiPriority w:val="99"/>
    <w:semiHidden/>
    <w:unhideWhenUsed/>
    <w:rsid w:val="0076728E"/>
    <w:rPr>
      <w:vertAlign w:val="superscript"/>
    </w:rPr>
  </w:style>
  <w:style w:type="paragraph" w:styleId="ad">
    <w:name w:val="List Paragraph"/>
    <w:basedOn w:val="a"/>
    <w:uiPriority w:val="34"/>
    <w:qFormat/>
    <w:rsid w:val="0076728E"/>
    <w:pPr>
      <w:widowControl/>
      <w:autoSpaceDE/>
      <w:autoSpaceDN/>
      <w:adjustRightInd/>
      <w:ind w:left="720" w:firstLine="709"/>
      <w:contextualSpacing/>
      <w:jc w:val="both"/>
    </w:pPr>
    <w:rPr>
      <w:rFonts w:ascii="Times New Roman" w:eastAsiaTheme="minorHAnsi" w:hAnsi="Times New Roman" w:cs="Times New Roman"/>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D993-A417-42F0-94AE-C373B20D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4026</Words>
  <Characters>22951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Меньшов Андрей Николаевич</dc:creator>
  <cp:lastModifiedBy>Максимец Илья Григорьевич</cp:lastModifiedBy>
  <cp:revision>2</cp:revision>
  <cp:lastPrinted>2015-02-17T12:30:00Z</cp:lastPrinted>
  <dcterms:created xsi:type="dcterms:W3CDTF">2016-12-19T13:39:00Z</dcterms:created>
  <dcterms:modified xsi:type="dcterms:W3CDTF">2016-12-19T13:39:00Z</dcterms:modified>
</cp:coreProperties>
</file>