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1208"/>
        <w:gridCol w:w="4422"/>
      </w:tblGrid>
      <w:t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«КНЯЖПОГОСТ»  МУНИЦИПАЛЬНÖЙ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РАЙОНСА АДМИНИСТРАЦИЯЛÖН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СЬÖМ  ОВМÖСÖН   ВЕСЬКÖДЛАНİН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0</wp:posOffset>
                  </wp:positionV>
                  <wp:extent cx="571500" cy="685800"/>
                  <wp:effectExtent l="0" t="0" r="0" b="0"/>
                  <wp:wrapNone/>
                  <wp:docPr id="2" name="Рисунок 2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ФИНАНСОВОЕ УПРАВЛЕНИЕ</w:t>
            </w:r>
          </w:p>
          <w:p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АДМИНИСТРАЦИИ МУНИЦИПАЛЬНОГО РАЙОНА «КНЯЖПОГОСТСКИЙ»</w:t>
            </w:r>
          </w:p>
        </w:tc>
      </w:tr>
    </w:tbl>
    <w:p>
      <w:pPr>
        <w:pStyle w:val="21"/>
        <w:jc w:val="center"/>
        <w:rPr>
          <w:sz w:val="28"/>
          <w:szCs w:val="28"/>
        </w:rPr>
      </w:pPr>
    </w:p>
    <w:p>
      <w:pPr>
        <w:pStyle w:val="2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  </w:t>
      </w:r>
    </w:p>
    <w:p>
      <w:pPr>
        <w:pStyle w:val="2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27 октября  2015 года                                                                           </w:t>
      </w:r>
      <w:r>
        <w:rPr>
          <w:sz w:val="28"/>
          <w:szCs w:val="28"/>
          <w:u w:val="single"/>
        </w:rPr>
        <w:t>№ 29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082"/>
      </w:tblGrid>
      <w:tr>
        <w:tc>
          <w:tcPr>
            <w:tcW w:w="6771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О перечне муниципальных образований городских и сельских поселений муниципального района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>», распределенных в зависимости от доли дотаций из других бюджетов бюджетной системы РФ и (или) налоговых доходов по дополнительным нормативам отчислений в размере, не превышающем расчетного объема дотаций на выравнивание бюджетной обеспеченности (части расчетного объема дотаций), заменой дополнительными нормативами отчислений, в собственных доходах местного бюджета</w:t>
            </w:r>
            <w:proofErr w:type="gramEnd"/>
          </w:p>
        </w:tc>
        <w:tc>
          <w:tcPr>
            <w:tcW w:w="30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требований Бюджетного кодекса РФ и Закона Республики Коми от 01.10.2007г. №88-РЗ « О бюджетной системе и бюджетном процессе в Республике Коми»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>
      <w:pPr>
        <w:ind w:firstLine="708"/>
        <w:jc w:val="both"/>
        <w:rPr>
          <w:sz w:val="28"/>
          <w:szCs w:val="28"/>
        </w:rPr>
      </w:pPr>
    </w:p>
    <w:p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на 2016год перечень муниципальных образований городских и сельских поселений, находящихся на территории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», в бюджетах которых доля дотаций из других бюджетов бюджетной системы РФ и (или) налоговых доходов по дополнительным нормативам отчислений в размере, не превышающем расчетного объема дотаций на выравнивание бюджетной обеспеченности (части расчетного объема дотаций), заменой дополнительными нормативами отчислений, в собственных доходах местного бюджета в</w:t>
      </w:r>
      <w:proofErr w:type="gramEnd"/>
      <w:r>
        <w:rPr>
          <w:sz w:val="28"/>
          <w:szCs w:val="28"/>
        </w:rPr>
        <w:t xml:space="preserve"> течение 2-х из 3-х последних отчетных финансовых лет:</w:t>
      </w:r>
    </w:p>
    <w:p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Превышала 5%, согласно приложению 1 к настоящему приказу</w:t>
      </w:r>
    </w:p>
    <w:p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Превышала 20%, согласно приложению 1 к настоящему приказу</w:t>
      </w:r>
    </w:p>
    <w:p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Превышала 50%, согласно приложению 1 к настоящему приказу.</w:t>
      </w:r>
    </w:p>
    <w:p>
      <w:pPr>
        <w:ind w:left="720"/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Л.Л. Синельник</w:t>
      </w:r>
    </w:p>
    <w:p>
      <w:pPr>
        <w:ind w:left="720"/>
        <w:jc w:val="both"/>
        <w:rPr>
          <w:sz w:val="28"/>
          <w:szCs w:val="28"/>
        </w:rPr>
      </w:pPr>
    </w:p>
    <w:p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приказу</w:t>
      </w:r>
    </w:p>
    <w:p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От 27.10.2015г. №29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ab/>
        <w:t>Перечень</w:t>
      </w:r>
    </w:p>
    <w:p>
      <w:pPr>
        <w:tabs>
          <w:tab w:val="left" w:pos="339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муниципальных образований городских и сельских поселений, находящихся на территории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», в бюджетах которых доля дотаций из других бюджетов бюджетной системы РФ и (или) налоговых доходов по дополнительным нормативам отчислений в размере, не превышающем расчетного объема дотаций на выравнивание бюджетной обеспеченности (части расчетного объема дотаций), заменой дополнительными нормативами отчислений, в собственных доходах местного бюджета в течение 2-х из 3-х</w:t>
      </w:r>
      <w:proofErr w:type="gramEnd"/>
      <w:r>
        <w:rPr>
          <w:sz w:val="28"/>
          <w:szCs w:val="28"/>
        </w:rPr>
        <w:t xml:space="preserve"> последних отчетных финансовых лет превышала 5%</w:t>
      </w:r>
    </w:p>
    <w:p>
      <w:pPr>
        <w:tabs>
          <w:tab w:val="left" w:pos="3390"/>
        </w:tabs>
        <w:jc w:val="center"/>
        <w:rPr>
          <w:sz w:val="28"/>
          <w:szCs w:val="28"/>
        </w:rPr>
      </w:pPr>
    </w:p>
    <w:p>
      <w:pPr>
        <w:tabs>
          <w:tab w:val="left" w:pos="3390"/>
        </w:tabs>
        <w:jc w:val="center"/>
        <w:rPr>
          <w:sz w:val="28"/>
          <w:szCs w:val="28"/>
        </w:rPr>
      </w:pPr>
    </w:p>
    <w:p>
      <w:pPr>
        <w:numPr>
          <w:ilvl w:val="0"/>
          <w:numId w:val="21"/>
        </w:numPr>
        <w:tabs>
          <w:tab w:val="left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Бюджет ГП «</w:t>
      </w:r>
      <w:proofErr w:type="spellStart"/>
      <w:r>
        <w:rPr>
          <w:sz w:val="28"/>
          <w:szCs w:val="28"/>
        </w:rPr>
        <w:t>Синдор</w:t>
      </w:r>
      <w:proofErr w:type="spellEnd"/>
      <w:r>
        <w:rPr>
          <w:sz w:val="28"/>
          <w:szCs w:val="28"/>
        </w:rPr>
        <w:t>»</w:t>
      </w:r>
    </w:p>
    <w:p>
      <w:pPr>
        <w:numPr>
          <w:ilvl w:val="0"/>
          <w:numId w:val="21"/>
        </w:numPr>
        <w:tabs>
          <w:tab w:val="left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Бюджет СП «</w:t>
      </w:r>
      <w:proofErr w:type="spellStart"/>
      <w:r>
        <w:rPr>
          <w:sz w:val="28"/>
          <w:szCs w:val="28"/>
        </w:rPr>
        <w:t>Чиньяворык</w:t>
      </w:r>
      <w:proofErr w:type="spellEnd"/>
      <w:r>
        <w:rPr>
          <w:sz w:val="28"/>
          <w:szCs w:val="28"/>
        </w:rPr>
        <w:t>»</w:t>
      </w: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приказу</w:t>
      </w:r>
    </w:p>
    <w:p>
      <w:pPr>
        <w:tabs>
          <w:tab w:val="left" w:pos="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27.10.2015г. №29</w:t>
      </w:r>
    </w:p>
    <w:p>
      <w:pPr>
        <w:tabs>
          <w:tab w:val="left" w:pos="0"/>
        </w:tabs>
        <w:ind w:left="360"/>
        <w:jc w:val="right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tabs>
          <w:tab w:val="left" w:pos="0"/>
        </w:tabs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муниципальных образований городских и сельских поселений, находящихся на территории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», в бюджетах которых доля дотаций из других бюджетов бюджетной системы РФ и (или) налоговых доходов по дополнительным нормативам отчислений в размере, не превышающем расчетного объема дотаций на выравнивание бюджетной обеспеченности (части расчетного объема дотаций), заменой дополнительными нормативами отчислений, в собственных доходах местного бюджета в течение 2-х из 3-х</w:t>
      </w:r>
      <w:proofErr w:type="gramEnd"/>
      <w:r>
        <w:rPr>
          <w:sz w:val="28"/>
          <w:szCs w:val="28"/>
        </w:rPr>
        <w:t xml:space="preserve"> последних отчетных финансовых лет превышала 20%</w:t>
      </w: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Бюджет ГП «Емва»</w:t>
      </w:r>
    </w:p>
    <w:p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Бюджет СП «Шошка»</w:t>
      </w: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приказу</w:t>
      </w:r>
    </w:p>
    <w:p>
      <w:pPr>
        <w:tabs>
          <w:tab w:val="left" w:pos="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27.10.2015г. №29</w:t>
      </w:r>
    </w:p>
    <w:p>
      <w:pPr>
        <w:tabs>
          <w:tab w:val="left" w:pos="0"/>
        </w:tabs>
        <w:ind w:left="360"/>
        <w:jc w:val="right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tabs>
          <w:tab w:val="left" w:pos="0"/>
        </w:tabs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муниципальных образований городских и сельских поселений, находящихся на территории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», в бюджетах которых доля дотаций из других бюджетов бюджетной системы РФ и (или) налоговых доходов по дополнительным нормативам отчислений в размере, не превышающем расчетного объема дотаций на выравнивание бюджетной обеспеченности (части расчетного объема дотаций), заменой дополнительными нормативами отчислений, в собственных доходах местного бюджета в течение 2-х из 3-х</w:t>
      </w:r>
      <w:proofErr w:type="gramEnd"/>
      <w:r>
        <w:rPr>
          <w:sz w:val="28"/>
          <w:szCs w:val="28"/>
        </w:rPr>
        <w:t xml:space="preserve"> последних отчетных финансовых лет превышала 50%</w:t>
      </w: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Бюджет СП «Тракт»</w:t>
      </w:r>
    </w:p>
    <w:p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Бюджет СП «</w:t>
      </w:r>
      <w:proofErr w:type="spellStart"/>
      <w:r>
        <w:rPr>
          <w:sz w:val="28"/>
          <w:szCs w:val="28"/>
        </w:rPr>
        <w:t>Серегово</w:t>
      </w:r>
      <w:proofErr w:type="spellEnd"/>
      <w:r>
        <w:rPr>
          <w:sz w:val="28"/>
          <w:szCs w:val="28"/>
        </w:rPr>
        <w:t>»</w:t>
      </w:r>
    </w:p>
    <w:p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3.Бюджет СП «</w:t>
      </w:r>
      <w:proofErr w:type="spellStart"/>
      <w:r>
        <w:rPr>
          <w:sz w:val="28"/>
          <w:szCs w:val="28"/>
        </w:rPr>
        <w:t>Туръя</w:t>
      </w:r>
      <w:proofErr w:type="spellEnd"/>
      <w:r>
        <w:rPr>
          <w:sz w:val="28"/>
          <w:szCs w:val="28"/>
        </w:rPr>
        <w:t>»</w:t>
      </w:r>
    </w:p>
    <w:p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4. Бюджет СП «</w:t>
      </w:r>
      <w:proofErr w:type="spellStart"/>
      <w:r>
        <w:rPr>
          <w:sz w:val="28"/>
          <w:szCs w:val="28"/>
        </w:rPr>
        <w:t>Ветью</w:t>
      </w:r>
      <w:proofErr w:type="spellEnd"/>
      <w:r>
        <w:rPr>
          <w:sz w:val="28"/>
          <w:szCs w:val="28"/>
        </w:rPr>
        <w:t>»</w:t>
      </w:r>
    </w:p>
    <w:p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5. Бюджет СП «Мещура»</w:t>
      </w:r>
    </w:p>
    <w:p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6. Бюджет СП «</w:t>
      </w:r>
      <w:proofErr w:type="spellStart"/>
      <w:r>
        <w:rPr>
          <w:sz w:val="28"/>
          <w:szCs w:val="28"/>
        </w:rPr>
        <w:t>Иоссер</w:t>
      </w:r>
      <w:proofErr w:type="spellEnd"/>
      <w:r>
        <w:rPr>
          <w:sz w:val="28"/>
          <w:szCs w:val="28"/>
        </w:rPr>
        <w:t>»</w:t>
      </w: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p>
      <w:pPr>
        <w:tabs>
          <w:tab w:val="left" w:pos="0"/>
        </w:tabs>
        <w:ind w:left="360"/>
        <w:rPr>
          <w:sz w:val="28"/>
          <w:szCs w:val="28"/>
        </w:rPr>
      </w:pPr>
    </w:p>
    <w:sectPr>
      <w:headerReference w:type="default" r:id="rId10"/>
      <w:footerReference w:type="default" r:id="rId11"/>
      <w:footerReference w:type="first" r:id="rId12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  <w:jc w:val="right"/>
      <w:rPr>
        <w:lang w:val="en-US"/>
      </w:rPr>
    </w:pPr>
  </w:p>
  <w:p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894"/>
    <w:multiLevelType w:val="hybridMultilevel"/>
    <w:tmpl w:val="CB4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4228C"/>
    <w:multiLevelType w:val="hybridMultilevel"/>
    <w:tmpl w:val="2E609940"/>
    <w:lvl w:ilvl="0" w:tplc="4476F3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45A80"/>
    <w:multiLevelType w:val="hybridMultilevel"/>
    <w:tmpl w:val="99584DBA"/>
    <w:lvl w:ilvl="0" w:tplc="00F4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81B86"/>
    <w:multiLevelType w:val="hybridMultilevel"/>
    <w:tmpl w:val="347CDB08"/>
    <w:lvl w:ilvl="0" w:tplc="4476F34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67CC7"/>
    <w:multiLevelType w:val="hybridMultilevel"/>
    <w:tmpl w:val="4A482040"/>
    <w:lvl w:ilvl="0" w:tplc="00F4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C0CAB"/>
    <w:multiLevelType w:val="multilevel"/>
    <w:tmpl w:val="5BE4C142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7B62B26"/>
    <w:multiLevelType w:val="hybridMultilevel"/>
    <w:tmpl w:val="23E80064"/>
    <w:lvl w:ilvl="0" w:tplc="E0942ACA">
      <w:start w:val="1"/>
      <w:numFmt w:val="bullet"/>
      <w:pStyle w:val="a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2A1E6C11"/>
    <w:multiLevelType w:val="hybridMultilevel"/>
    <w:tmpl w:val="C628687C"/>
    <w:lvl w:ilvl="0" w:tplc="4476F3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E2260"/>
    <w:multiLevelType w:val="hybridMultilevel"/>
    <w:tmpl w:val="F26A7726"/>
    <w:lvl w:ilvl="0" w:tplc="00F4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E430B"/>
    <w:multiLevelType w:val="hybridMultilevel"/>
    <w:tmpl w:val="80B06EE2"/>
    <w:lvl w:ilvl="0" w:tplc="4476F3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0110B"/>
    <w:multiLevelType w:val="hybridMultilevel"/>
    <w:tmpl w:val="053C22FE"/>
    <w:lvl w:ilvl="0" w:tplc="4476F34A">
      <w:start w:val="1"/>
      <w:numFmt w:val="bullet"/>
      <w:lvlText w:val="-"/>
      <w:lvlJc w:val="left"/>
      <w:pPr>
        <w:ind w:left="17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37EF7F6D"/>
    <w:multiLevelType w:val="hybridMultilevel"/>
    <w:tmpl w:val="998AB7F0"/>
    <w:lvl w:ilvl="0" w:tplc="E34A1D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66F2D"/>
    <w:multiLevelType w:val="multilevel"/>
    <w:tmpl w:val="D74036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6694492"/>
    <w:multiLevelType w:val="hybridMultilevel"/>
    <w:tmpl w:val="99BE9FEE"/>
    <w:lvl w:ilvl="0" w:tplc="4476F34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FB5922"/>
    <w:multiLevelType w:val="hybridMultilevel"/>
    <w:tmpl w:val="6B5A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26DAB"/>
    <w:multiLevelType w:val="hybridMultilevel"/>
    <w:tmpl w:val="17DEE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F7561"/>
    <w:multiLevelType w:val="hybridMultilevel"/>
    <w:tmpl w:val="9154B632"/>
    <w:lvl w:ilvl="0" w:tplc="00F4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1040F"/>
    <w:multiLevelType w:val="hybridMultilevel"/>
    <w:tmpl w:val="CB4A6812"/>
    <w:lvl w:ilvl="0" w:tplc="52060B5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9AB6628"/>
    <w:multiLevelType w:val="hybridMultilevel"/>
    <w:tmpl w:val="5CA835B8"/>
    <w:lvl w:ilvl="0" w:tplc="93767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C12CD"/>
    <w:multiLevelType w:val="multilevel"/>
    <w:tmpl w:val="0284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1F2E4E"/>
    <w:multiLevelType w:val="hybridMultilevel"/>
    <w:tmpl w:val="21B2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8"/>
  </w:num>
  <w:num w:numId="5">
    <w:abstractNumId w:val="10"/>
  </w:num>
  <w:num w:numId="6">
    <w:abstractNumId w:val="3"/>
  </w:num>
  <w:num w:numId="7">
    <w:abstractNumId w:val="9"/>
  </w:num>
  <w:num w:numId="8">
    <w:abstractNumId w:val="13"/>
  </w:num>
  <w:num w:numId="9">
    <w:abstractNumId w:val="1"/>
  </w:num>
  <w:num w:numId="10">
    <w:abstractNumId w:val="12"/>
  </w:num>
  <w:num w:numId="11">
    <w:abstractNumId w:val="19"/>
  </w:num>
  <w:num w:numId="12">
    <w:abstractNumId w:val="14"/>
  </w:num>
  <w:num w:numId="13">
    <w:abstractNumId w:val="16"/>
  </w:num>
  <w:num w:numId="14">
    <w:abstractNumId w:val="4"/>
  </w:num>
  <w:num w:numId="15">
    <w:abstractNumId w:val="0"/>
  </w:num>
  <w:num w:numId="16">
    <w:abstractNumId w:val="2"/>
  </w:num>
  <w:num w:numId="17">
    <w:abstractNumId w:val="8"/>
  </w:num>
  <w:num w:numId="18">
    <w:abstractNumId w:val="11"/>
  </w:num>
  <w:num w:numId="19">
    <w:abstractNumId w:val="17"/>
  </w:num>
  <w:num w:numId="20">
    <w:abstractNumId w:val="15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3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3"/>
      </w:numPr>
      <w:tabs>
        <w:tab w:val="left" w:pos="2268"/>
      </w:tabs>
      <w:spacing w:line="228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Times New Roman" w:hAnsi="Arial"/>
      <w:b/>
      <w:sz w:val="32"/>
    </w:rPr>
  </w:style>
  <w:style w:type="paragraph" w:customStyle="1" w:styleId="AAA1">
    <w:name w:val="AAA1"/>
    <w:basedOn w:val="a0"/>
    <w:pPr>
      <w:spacing w:line="270" w:lineRule="exact"/>
    </w:pPr>
    <w:rPr>
      <w:rFonts w:ascii="Arial" w:hAnsi="Arial"/>
      <w:kern w:val="19"/>
      <w:sz w:val="19"/>
    </w:rPr>
  </w:style>
  <w:style w:type="character" w:styleId="a4">
    <w:name w:val="Hyperlink"/>
    <w:rPr>
      <w:color w:val="0000FF"/>
      <w:u w:val="single"/>
    </w:rPr>
  </w:style>
  <w:style w:type="paragraph" w:styleId="a5">
    <w:name w:val="No Spacing"/>
    <w:uiPriority w:val="1"/>
    <w:qFormat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/>
      <w:b/>
      <w:bCs/>
      <w:color w:val="4F81BD"/>
    </w:rPr>
  </w:style>
  <w:style w:type="paragraph" w:styleId="a6">
    <w:name w:val="Body Text Indent"/>
    <w:basedOn w:val="a0"/>
    <w:link w:val="a7"/>
    <w:semiHidden/>
    <w:pPr>
      <w:ind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link w:val="a6"/>
    <w:semiHidden/>
    <w:rPr>
      <w:rFonts w:ascii="Arial" w:eastAsia="Times New Roman" w:hAnsi="Arial"/>
    </w:rPr>
  </w:style>
  <w:style w:type="paragraph" w:styleId="a8">
    <w:name w:val="Normal (Web)"/>
    <w:basedOn w:val="a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Обычный абзац"/>
    <w:basedOn w:val="a0"/>
    <w:pPr>
      <w:spacing w:before="120"/>
    </w:pPr>
  </w:style>
  <w:style w:type="paragraph" w:styleId="a">
    <w:name w:val="List Bullet"/>
    <w:basedOn w:val="a0"/>
    <w:pPr>
      <w:numPr>
        <w:numId w:val="1"/>
      </w:numPr>
      <w:spacing w:line="360" w:lineRule="auto"/>
      <w:jc w:val="both"/>
    </w:pPr>
    <w:rPr>
      <w:sz w:val="24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/>
      <w:sz w:val="22"/>
      <w:szCs w:val="22"/>
    </w:rPr>
  </w:style>
  <w:style w:type="paragraph" w:styleId="aa">
    <w:name w:val="header"/>
    <w:basedOn w:val="a0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" w:eastAsia="Times New Roman" w:hAnsi="Times New Roman"/>
    </w:rPr>
  </w:style>
  <w:style w:type="paragraph" w:styleId="ac">
    <w:name w:val="footer"/>
    <w:basedOn w:val="a0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/>
    </w:rPr>
  </w:style>
  <w:style w:type="table" w:styleId="ae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сновной текст документа"/>
    <w:basedOn w:val="a0"/>
    <w:pPr>
      <w:autoSpaceDE w:val="0"/>
      <w:autoSpaceDN w:val="0"/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3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3"/>
      </w:numPr>
      <w:tabs>
        <w:tab w:val="left" w:pos="2268"/>
      </w:tabs>
      <w:spacing w:line="228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Times New Roman" w:hAnsi="Arial"/>
      <w:b/>
      <w:sz w:val="32"/>
    </w:rPr>
  </w:style>
  <w:style w:type="paragraph" w:customStyle="1" w:styleId="AAA1">
    <w:name w:val="AAA1"/>
    <w:basedOn w:val="a0"/>
    <w:pPr>
      <w:spacing w:line="270" w:lineRule="exact"/>
    </w:pPr>
    <w:rPr>
      <w:rFonts w:ascii="Arial" w:hAnsi="Arial"/>
      <w:kern w:val="19"/>
      <w:sz w:val="19"/>
    </w:rPr>
  </w:style>
  <w:style w:type="character" w:styleId="a4">
    <w:name w:val="Hyperlink"/>
    <w:rPr>
      <w:color w:val="0000FF"/>
      <w:u w:val="single"/>
    </w:rPr>
  </w:style>
  <w:style w:type="paragraph" w:styleId="a5">
    <w:name w:val="No Spacing"/>
    <w:uiPriority w:val="1"/>
    <w:qFormat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/>
      <w:b/>
      <w:bCs/>
      <w:color w:val="4F81BD"/>
    </w:rPr>
  </w:style>
  <w:style w:type="paragraph" w:styleId="a6">
    <w:name w:val="Body Text Indent"/>
    <w:basedOn w:val="a0"/>
    <w:link w:val="a7"/>
    <w:semiHidden/>
    <w:pPr>
      <w:ind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link w:val="a6"/>
    <w:semiHidden/>
    <w:rPr>
      <w:rFonts w:ascii="Arial" w:eastAsia="Times New Roman" w:hAnsi="Arial"/>
    </w:rPr>
  </w:style>
  <w:style w:type="paragraph" w:styleId="a8">
    <w:name w:val="Normal (Web)"/>
    <w:basedOn w:val="a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Обычный абзац"/>
    <w:basedOn w:val="a0"/>
    <w:pPr>
      <w:spacing w:before="120"/>
    </w:pPr>
  </w:style>
  <w:style w:type="paragraph" w:styleId="a">
    <w:name w:val="List Bullet"/>
    <w:basedOn w:val="a0"/>
    <w:pPr>
      <w:numPr>
        <w:numId w:val="1"/>
      </w:numPr>
      <w:spacing w:line="360" w:lineRule="auto"/>
      <w:jc w:val="both"/>
    </w:pPr>
    <w:rPr>
      <w:sz w:val="24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/>
      <w:sz w:val="22"/>
      <w:szCs w:val="22"/>
    </w:rPr>
  </w:style>
  <w:style w:type="paragraph" w:styleId="aa">
    <w:name w:val="header"/>
    <w:basedOn w:val="a0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" w:eastAsia="Times New Roman" w:hAnsi="Times New Roman"/>
    </w:rPr>
  </w:style>
  <w:style w:type="paragraph" w:styleId="ac">
    <w:name w:val="footer"/>
    <w:basedOn w:val="a0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/>
    </w:rPr>
  </w:style>
  <w:style w:type="table" w:styleId="ae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сновной текст документа"/>
    <w:basedOn w:val="a0"/>
    <w:pPr>
      <w:autoSpaceDE w:val="0"/>
      <w:autoSpaceDN w:val="0"/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3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93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1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6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1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1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5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8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7B7F-A099-4F20-AEE1-D5B74E1D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Links>
    <vt:vector size="18" baseType="variant">
      <vt:variant>
        <vt:i4>8126549</vt:i4>
      </vt:variant>
      <vt:variant>
        <vt:i4>6</vt:i4>
      </vt:variant>
      <vt:variant>
        <vt:i4>0</vt:i4>
      </vt:variant>
      <vt:variant>
        <vt:i4>5</vt:i4>
      </vt:variant>
      <vt:variant>
        <vt:lpwstr>mailto:support@rkomi.ru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mailto:285577@rkomi.ru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mailto:577@rkomi.ru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Ковригина</cp:lastModifiedBy>
  <cp:revision>2</cp:revision>
  <cp:lastPrinted>2017-08-29T09:52:00Z</cp:lastPrinted>
  <dcterms:created xsi:type="dcterms:W3CDTF">2017-08-29T09:53:00Z</dcterms:created>
  <dcterms:modified xsi:type="dcterms:W3CDTF">2017-08-29T09:53:00Z</dcterms:modified>
</cp:coreProperties>
</file>