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7" w:rsidRDefault="00056517">
      <w:r>
        <w:t xml:space="preserve">Информация </w:t>
      </w:r>
    </w:p>
    <w:p w:rsidR="00773BE1" w:rsidRPr="00773BE1" w:rsidRDefault="00773BE1" w:rsidP="00773BE1">
      <w:pPr>
        <w:pStyle w:val="1"/>
        <w:rPr>
          <w:sz w:val="28"/>
          <w:szCs w:val="28"/>
        </w:rPr>
      </w:pPr>
      <w:r w:rsidRPr="00773BE1">
        <w:rPr>
          <w:sz w:val="28"/>
          <w:szCs w:val="28"/>
        </w:rPr>
        <w:t>Информация для клиентов управляющих компаний</w:t>
      </w:r>
    </w:p>
    <w:p w:rsidR="00773BE1" w:rsidRPr="00773BE1" w:rsidRDefault="00773BE1" w:rsidP="00773BE1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bookmarkStart w:id="0" w:name="mainArea2"/>
      <w:bookmarkEnd w:id="0"/>
      <w:r w:rsidRPr="00773BE1">
        <w:rPr>
          <w:b w:val="0"/>
          <w:sz w:val="28"/>
          <w:szCs w:val="28"/>
        </w:rPr>
        <w:t>Пенсионный фонд России сообщает, что в связи с прекращением с 8 и 10 октября 2018 года договоров доверительного управления средствами пенсионных накоплений с одиннадцатью частными управляющими компаниями, включая:</w:t>
      </w:r>
    </w:p>
    <w:p w:rsidR="00773BE1" w:rsidRPr="00773BE1" w:rsidRDefault="00773BE1" w:rsidP="00773BE1">
      <w:pPr>
        <w:pStyle w:val="western"/>
        <w:spacing w:after="284" w:afterAutospacing="0"/>
        <w:jc w:val="left"/>
        <w:rPr>
          <w:b w:val="0"/>
          <w:sz w:val="28"/>
          <w:szCs w:val="28"/>
        </w:rPr>
      </w:pPr>
      <w:proofErr w:type="gramStart"/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ООО УК «АК БАРС КАПИТАЛ»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АО «УКАЦ»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ООО «УК «БФА»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АО «УК РЕГИОН ИНВЕСТИЦИИ»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ООО «УК «МЕТРОПОЛЬ»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ЗАО «УК Мономах»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ООО «ПЕНСИОННАЯ СБЕРЕГАТЕЛЬНАЯ КОМПАНИЯ»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АО ТКБ </w:t>
      </w:r>
      <w:proofErr w:type="spellStart"/>
      <w:r w:rsidRPr="00773BE1">
        <w:rPr>
          <w:b w:val="0"/>
          <w:sz w:val="28"/>
          <w:szCs w:val="28"/>
        </w:rPr>
        <w:t>Инвестмент</w:t>
      </w:r>
      <w:proofErr w:type="spellEnd"/>
      <w:r w:rsidRPr="00773BE1">
        <w:rPr>
          <w:b w:val="0"/>
          <w:sz w:val="28"/>
          <w:szCs w:val="28"/>
        </w:rPr>
        <w:t xml:space="preserve"> Партнере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АО «Управляющая Компания ТРИНФИКО»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ООО «УК Управление инвестициями»</w:t>
      </w:r>
      <w:r w:rsidRPr="00773BE1">
        <w:rPr>
          <w:b w:val="0"/>
          <w:sz w:val="28"/>
          <w:szCs w:val="28"/>
        </w:rPr>
        <w:br/>
      </w:r>
      <w:r w:rsidRPr="00773BE1">
        <w:rPr>
          <w:b w:val="0"/>
          <w:color w:val="009900"/>
          <w:sz w:val="28"/>
          <w:szCs w:val="28"/>
        </w:rPr>
        <w:t>●</w:t>
      </w:r>
      <w:r w:rsidRPr="00773BE1">
        <w:rPr>
          <w:b w:val="0"/>
          <w:sz w:val="28"/>
          <w:szCs w:val="28"/>
        </w:rPr>
        <w:t xml:space="preserve"> ООО «Управляющая компания «</w:t>
      </w:r>
      <w:proofErr w:type="spellStart"/>
      <w:r w:rsidRPr="00773BE1">
        <w:rPr>
          <w:b w:val="0"/>
          <w:sz w:val="28"/>
          <w:szCs w:val="28"/>
        </w:rPr>
        <w:t>Финам</w:t>
      </w:r>
      <w:proofErr w:type="spellEnd"/>
      <w:r w:rsidRPr="00773BE1">
        <w:rPr>
          <w:b w:val="0"/>
          <w:sz w:val="28"/>
          <w:szCs w:val="28"/>
        </w:rPr>
        <w:t xml:space="preserve"> Менеджмент»</w:t>
      </w:r>
      <w:proofErr w:type="gramEnd"/>
    </w:p>
    <w:p w:rsidR="00773BE1" w:rsidRPr="00773BE1" w:rsidRDefault="00773BE1" w:rsidP="00773BE1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73BE1">
        <w:rPr>
          <w:b w:val="0"/>
          <w:sz w:val="28"/>
          <w:szCs w:val="28"/>
        </w:rPr>
        <w:t>– средства граждан, формировавших пенсионные накопления в указанных компаниях, переданы в расширенный инвестиционный портфель государственной управляющей компании «Внешэкономбанк». Страховщиком граждан по-прежнему остается Пенсионный фонд России.</w:t>
      </w:r>
    </w:p>
    <w:p w:rsidR="00773BE1" w:rsidRPr="00773BE1" w:rsidRDefault="00773BE1" w:rsidP="00773BE1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73BE1">
        <w:rPr>
          <w:b w:val="0"/>
          <w:sz w:val="28"/>
          <w:szCs w:val="28"/>
        </w:rPr>
        <w:t>Застрахованные лица вправе выбрать новые инвестиционный портфель или управляющую компанию, а также перейти к другому страховщику, подав соответствующее заявление в ПФР. При переводе средств между управляющими компаниями или выборе инвестиционного портфеля без смены пенсионного фонда (страховщика) потери инвестиционного дохода не происходит.</w:t>
      </w:r>
    </w:p>
    <w:p w:rsidR="00056517" w:rsidRDefault="00056517"/>
    <w:sectPr w:rsidR="00056517" w:rsidSect="006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37"/>
    <w:rsid w:val="00056517"/>
    <w:rsid w:val="001174EC"/>
    <w:rsid w:val="00547137"/>
    <w:rsid w:val="0063240B"/>
    <w:rsid w:val="006A2F6C"/>
    <w:rsid w:val="00773BE1"/>
    <w:rsid w:val="00986703"/>
    <w:rsid w:val="00A13A68"/>
    <w:rsid w:val="00F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B"/>
  </w:style>
  <w:style w:type="paragraph" w:styleId="1">
    <w:name w:val="heading 1"/>
    <w:basedOn w:val="a"/>
    <w:link w:val="10"/>
    <w:uiPriority w:val="9"/>
    <w:qFormat/>
    <w:rsid w:val="00056517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6517"/>
    <w:rPr>
      <w:color w:val="000080"/>
      <w:u w:val="single"/>
    </w:rPr>
  </w:style>
  <w:style w:type="paragraph" w:customStyle="1" w:styleId="western">
    <w:name w:val="western"/>
    <w:basedOn w:val="a"/>
    <w:rsid w:val="00056517"/>
    <w:pPr>
      <w:spacing w:before="100" w:beforeAutospacing="1" w:after="100" w:afterAutospacing="1" w:line="192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3B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Михаил Ховрин</cp:lastModifiedBy>
  <cp:revision>4</cp:revision>
  <dcterms:created xsi:type="dcterms:W3CDTF">2019-01-29T07:03:00Z</dcterms:created>
  <dcterms:modified xsi:type="dcterms:W3CDTF">2019-01-31T13:54:00Z</dcterms:modified>
</cp:coreProperties>
</file>