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1C" w:rsidRPr="000D3F1C" w:rsidRDefault="000D3F1C" w:rsidP="000D3F1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D3F1C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Подать заявление о погашении ипотеки </w:t>
      </w:r>
      <w:proofErr w:type="spellStart"/>
      <w:r w:rsidRPr="000D3F1C">
        <w:rPr>
          <w:rFonts w:ascii="Times New Roman" w:hAnsi="Times New Roman" w:cs="Times New Roman"/>
          <w:b/>
          <w:sz w:val="28"/>
          <w:szCs w:val="28"/>
          <w:highlight w:val="white"/>
        </w:rPr>
        <w:t>маткапиталом</w:t>
      </w:r>
      <w:proofErr w:type="spellEnd"/>
      <w:r w:rsidRPr="000D3F1C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можно в банке. </w:t>
      </w:r>
    </w:p>
    <w:p w:rsidR="000D3F1C" w:rsidRPr="000D3F1C" w:rsidRDefault="000D3F1C" w:rsidP="000D3F1C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D3F1C">
        <w:rPr>
          <w:rFonts w:ascii="Times New Roman" w:hAnsi="Times New Roman" w:cs="Times New Roman"/>
          <w:sz w:val="28"/>
          <w:szCs w:val="28"/>
          <w:highlight w:val="white"/>
        </w:rPr>
        <w:t>Если семья обращается в банк за предоставлением жилищного кредита, то одновременно с подписанием договора она может подать заявление о направлении материнского капитала на уплату первоначального взноса по кредиту или на погашение основного долга и процентов. То есть вместо двух обращений – в банк и Пенсионный фонд – семье теперь достаточно обратиться только в банк.</w:t>
      </w:r>
    </w:p>
    <w:p w:rsidR="000D3F1C" w:rsidRPr="000D3F1C" w:rsidRDefault="000D3F1C" w:rsidP="000D3F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48F" w:rsidRPr="000D3F1C" w:rsidRDefault="00F5748F" w:rsidP="000D3F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748F" w:rsidRPr="000D3F1C" w:rsidSect="00546E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F1C"/>
    <w:rsid w:val="000D3F1C"/>
    <w:rsid w:val="00F5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2021-01-29T07:53:00Z</dcterms:created>
  <dcterms:modified xsi:type="dcterms:W3CDTF">2021-01-29T07:54:00Z</dcterms:modified>
</cp:coreProperties>
</file>