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7A" w:rsidRDefault="00583B7A" w:rsidP="00583B7A">
      <w:pPr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>Положение</w:t>
      </w:r>
    </w:p>
    <w:p w:rsidR="00583B7A" w:rsidRDefault="00583B7A" w:rsidP="00583B7A">
      <w:pPr>
        <w:spacing w:after="200" w:line="276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 xml:space="preserve">о </w:t>
      </w:r>
      <w:r>
        <w:rPr>
          <w:rFonts w:eastAsia="Calibri"/>
          <w:b/>
          <w:kern w:val="0"/>
          <w:sz w:val="28"/>
          <w:szCs w:val="28"/>
          <w:lang w:eastAsia="en-US"/>
        </w:rPr>
        <w:t>Региональном конкурсе исследовательских работ</w:t>
      </w:r>
    </w:p>
    <w:p w:rsidR="00583B7A" w:rsidRDefault="00583B7A" w:rsidP="00583B7A">
      <w:pPr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>«Алюминиевая азбука»</w:t>
      </w:r>
    </w:p>
    <w:p w:rsidR="00583B7A" w:rsidRDefault="00583B7A" w:rsidP="00583B7A">
      <w:pPr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>на призы компании РУСАЛ</w:t>
      </w:r>
    </w:p>
    <w:p w:rsidR="00583B7A" w:rsidRDefault="00583B7A" w:rsidP="00583B7A">
      <w:pPr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83B7A" w:rsidRDefault="00583B7A" w:rsidP="00583B7A">
      <w:pPr>
        <w:spacing w:after="200" w:line="276" w:lineRule="auto"/>
        <w:jc w:val="center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>Общие положения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Конкурс исследовательских работ «Алюминиевая азбука» является интеллектуальным соревнованием талантливых школьников и студентов, увлеченных наукой и техникой.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Подготовку и проведение Конкурса осуществляют предприятие «Боксит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Тимана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» компании РУСАЛ и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Ухтинский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государственный технический университет при содействии МУ "Управление образования" администрации МОГО "Ухта" и Управления образования АМР «Княжпогостский».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>Проведение Конкурса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Проведением конкурса руководит Оргкомитет. Для организации экспертизы работ участников Оргкомитет формирует Экспертный совет, в который привлекаются специалисты по соответствующим направлениям.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Конкурсный отбор исследовательских работ проводится среди учащихся средних образовательных школ и лицеев  8 - 11 классов, студентов колледжей, 1 – 2 курсов высших учебных заведений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Ухтинского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Княжпогостского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районов Республики Коми. Допускается участие учеников </w:t>
      </w:r>
      <w:proofErr w:type="gramStart"/>
      <w:r>
        <w:rPr>
          <w:rFonts w:eastAsia="Calibri"/>
          <w:kern w:val="0"/>
          <w:sz w:val="28"/>
          <w:szCs w:val="28"/>
          <w:lang w:eastAsia="en-US"/>
        </w:rPr>
        <w:t>более младшего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 xml:space="preserve"> возраста при условии соблюдения условий конкурса, на общих основаниях.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>
        <w:rPr>
          <w:rFonts w:eastAsia="Calibri"/>
          <w:kern w:val="0"/>
          <w:sz w:val="28"/>
          <w:szCs w:val="28"/>
          <w:lang w:eastAsia="en-US"/>
        </w:rPr>
        <w:t>На Конкурс принимаются работы исследовательского характера, включающие описание этапов первичной подготовки материала, определение объекта и методов исследования, теоретическое обоснование выдвинутой проблемы, этапы экспериментальной работы, обработку, анализ и интерпретацию полученных результатов, обзор литературы по выбранной тематике.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 xml:space="preserve"> Работу завершает список используемой литературы.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 Конкурсе выделяются следующие направления:</w:t>
      </w:r>
    </w:p>
    <w:p w:rsidR="00583B7A" w:rsidRDefault="00583B7A" w:rsidP="00583B7A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Физика </w:t>
      </w:r>
    </w:p>
    <w:p w:rsidR="00583B7A" w:rsidRDefault="00583B7A" w:rsidP="00583B7A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Химия </w:t>
      </w:r>
    </w:p>
    <w:p w:rsidR="00583B7A" w:rsidRDefault="00583B7A" w:rsidP="00583B7A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lastRenderedPageBreak/>
        <w:t>Техника</w:t>
      </w:r>
    </w:p>
    <w:p w:rsidR="00583B7A" w:rsidRDefault="00583B7A" w:rsidP="00583B7A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Металлургия</w:t>
      </w:r>
    </w:p>
    <w:p w:rsidR="00583B7A" w:rsidRDefault="00583B7A" w:rsidP="00583B7A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Экология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Автор сам определяет область знаний (предмет, группу предметов), к которой относится тема его работы. Работы могут иметь междисциплинарный характер.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 Конкурсе принимают участие отдельные исследователи.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Учебно-исследовательские работы предполагают самостоятельную деятельность учащихся (студентов) под руководством педагога. 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На Конкурс представляются: 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Аннотация работы в печатном виде, объемом не более 1/2 страницы; </w:t>
      </w:r>
      <w:r>
        <w:rPr>
          <w:rFonts w:eastAsia="Calibri"/>
          <w:kern w:val="0"/>
          <w:sz w:val="28"/>
          <w:szCs w:val="28"/>
          <w:lang w:eastAsia="en-US"/>
        </w:rPr>
        <w:br/>
        <w:t xml:space="preserve">Текст работы объёмом до 20 страниц (размер шрифта - 14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пт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, межстрочный интервал - 1,5). Работы представляются в электронном виде. В порядке исключения, при отсутствии возможности </w:t>
      </w:r>
      <w:bookmarkStart w:id="0" w:name="_GoBack"/>
      <w:bookmarkEnd w:id="0"/>
      <w:r>
        <w:rPr>
          <w:rFonts w:eastAsia="Calibri"/>
          <w:kern w:val="0"/>
          <w:sz w:val="28"/>
          <w:szCs w:val="28"/>
          <w:lang w:eastAsia="en-US"/>
        </w:rPr>
        <w:t xml:space="preserve">предоставления работы в электронном виде, работа принимается в печатном варианте. 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На титульном листе указываются название работы, информация об авторе проекта (номер школы, название образовательного учреждения (факультет для вузов), класс (курс), фамилия, имя, предметное направление, к которому относится работа), информация о научном руководителе проекта. </w:t>
      </w:r>
      <w:r>
        <w:rPr>
          <w:rFonts w:eastAsia="Calibri"/>
          <w:kern w:val="0"/>
          <w:sz w:val="28"/>
          <w:szCs w:val="28"/>
          <w:lang w:eastAsia="en-US"/>
        </w:rPr>
        <w:br/>
        <w:t>Работа должна включать: теоретическую часть (цель проекта, обоснование, гипотеза), метод проведения исследования, план выполнения исследования, результат проведения исследования, список использованной литературы. 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Формулы должны быть набраны в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Equation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  <w:lang w:val="en-US" w:eastAsia="en-US"/>
        </w:rPr>
        <w:t>E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ditor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kern w:val="0"/>
          <w:sz w:val="28"/>
          <w:szCs w:val="28"/>
          <w:lang w:eastAsia="en-US"/>
        </w:rPr>
        <w:t xml:space="preserve">Размер знаков обычный – 12пт, крупный индекс – 8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пт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, мелкий индекс – 6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пт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, крупный символ – 20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пт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, мелкий символ – 14 пт. Настройки по стилю – текст, функция, переменная (наклонная), матрица-вектор (полужирная), число -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Times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New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Roman, греческие буквы и символы – </w:t>
      </w:r>
      <w:r>
        <w:rPr>
          <w:rFonts w:eastAsia="Calibri"/>
          <w:kern w:val="0"/>
          <w:sz w:val="28"/>
          <w:szCs w:val="28"/>
          <w:lang w:val="en-US" w:eastAsia="en-US"/>
        </w:rPr>
        <w:t>Symbol</w:t>
      </w:r>
      <w:r>
        <w:rPr>
          <w:rFonts w:eastAsia="Calibri"/>
          <w:kern w:val="0"/>
          <w:sz w:val="28"/>
          <w:szCs w:val="28"/>
          <w:lang w:eastAsia="en-US"/>
        </w:rPr>
        <w:t>.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 xml:space="preserve"> Где не указано специально, используется прямой нежирный формат символов.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Работы, присланные на Конкурс, не возвращаются.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>Презентация работы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Презентация работы проводится автором самостоятельно в форме устного доклада продолжительностью не более 10 минут. </w:t>
      </w:r>
      <w:r>
        <w:rPr>
          <w:rFonts w:eastAsia="Calibri"/>
          <w:kern w:val="0"/>
          <w:sz w:val="28"/>
          <w:szCs w:val="28"/>
          <w:lang w:eastAsia="en-US"/>
        </w:rPr>
        <w:br/>
        <w:t>При презентации работы участник может воспользоваться компьютером, проектором, техническими моделями, фотографиями, макетами и пр. </w:t>
      </w:r>
      <w:r>
        <w:rPr>
          <w:rFonts w:eastAsia="Calibri"/>
          <w:kern w:val="0"/>
          <w:sz w:val="28"/>
          <w:szCs w:val="28"/>
          <w:lang w:eastAsia="en-US"/>
        </w:rPr>
        <w:br/>
      </w:r>
      <w:r>
        <w:rPr>
          <w:rFonts w:eastAsia="Calibri"/>
          <w:kern w:val="0"/>
          <w:sz w:val="28"/>
          <w:szCs w:val="28"/>
          <w:lang w:eastAsia="en-US"/>
        </w:rPr>
        <w:lastRenderedPageBreak/>
        <w:t>После окончания презентации эксперты и все присутствующие вправе задавать вопросы по теме исследовательской работы. Допускается заочное участие в Конкурсе. Тогда презентацию экспертный совет может рассмотреть в отсутствии участника конкурса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>Сроки и место проведения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>
        <w:rPr>
          <w:rFonts w:eastAsia="Calibri"/>
          <w:kern w:val="0"/>
          <w:sz w:val="28"/>
          <w:szCs w:val="28"/>
          <w:lang w:eastAsia="en-US"/>
        </w:rPr>
        <w:t>Первый этап – подготовка работ и направление их в адрес Оргкомитета (169300, г. Ухта, пр.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 xml:space="preserve"> Ленина, д. 26Б, офис АО «Боксит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Тимана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», электронная почта: </w:t>
      </w:r>
      <w:proofErr w:type="gramStart"/>
      <w:r>
        <w:rPr>
          <w:rFonts w:eastAsia="Calibri"/>
          <w:kern w:val="0"/>
          <w:sz w:val="28"/>
          <w:szCs w:val="28"/>
          <w:lang w:eastAsia="en-US"/>
        </w:rPr>
        <w:t>Anzhelika.Ludnikova@rusal.com) с 26 марта по 8 мая 2020 года.</w:t>
      </w:r>
      <w:proofErr w:type="gramEnd"/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Второй этап – очно-заочная презентация работ и подведение итогов до 15 мая 2020 года. Очная презентация работ состоится 15 мая 2020 года – в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Ухтинском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государственном техническом университете. 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>Итоги и результаты конкурса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Результаты Конкурса подводятся в день презентации конкурсных работ группой экспертов, в которую входят представители АО «Боксит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Тимана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» и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Ухтинского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государственного технического университета. При подведении итогов учитываются: 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качество обзора литературы по данной теме;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наличие проблемы исследования, ее актуальность;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качество представления теоретической части;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соответствие экспериментальной части поставленной проблеме;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наличие обоснования методики исследования;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обзор допущений, производимых при реализации методики;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возможность практического применения результатов исследования;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соответствие выводов полученным результатам;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культура оформления материалов;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sym w:font="Times New Roman" w:char="F0B7"/>
      </w:r>
      <w:r>
        <w:rPr>
          <w:rFonts w:eastAsia="Calibri"/>
          <w:kern w:val="0"/>
          <w:sz w:val="28"/>
          <w:szCs w:val="28"/>
          <w:lang w:eastAsia="en-US"/>
        </w:rPr>
        <w:t xml:space="preserve">  умение вести дискуссию.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Оценки экспертов не разглашаются. Методика определения победителей конкурса на основании выставленных оценок разрабатывается Оргкомитетом. </w:t>
      </w:r>
      <w:r>
        <w:rPr>
          <w:rFonts w:eastAsia="Calibri"/>
          <w:kern w:val="0"/>
          <w:sz w:val="28"/>
          <w:szCs w:val="28"/>
          <w:lang w:eastAsia="en-US"/>
        </w:rPr>
        <w:br/>
        <w:t xml:space="preserve">Оргкомитет конкурса вправе не отвечать на обращения с просьбами о </w:t>
      </w:r>
      <w:r>
        <w:rPr>
          <w:rFonts w:eastAsia="Calibri"/>
          <w:kern w:val="0"/>
          <w:sz w:val="28"/>
          <w:szCs w:val="28"/>
          <w:lang w:eastAsia="en-US"/>
        </w:rPr>
        <w:lastRenderedPageBreak/>
        <w:t>пересмотре выставленных оценок. Участие в Конкурсе означает полное согласие с настоящим Положением. </w:t>
      </w:r>
      <w:r>
        <w:rPr>
          <w:rFonts w:eastAsia="Calibri"/>
          <w:kern w:val="0"/>
          <w:sz w:val="28"/>
          <w:szCs w:val="28"/>
          <w:lang w:eastAsia="en-US"/>
        </w:rPr>
        <w:br/>
        <w:t xml:space="preserve">Победители Конкурса определяются по каждому направлению. Экспертный совет вправе  имеет право присудить одно место нескольким участникам, присуждать призовое место не по всем направлениям. Призеры и победители по предметным направлениям награждаются дипломами, а победители также ценным призом от предприятия «Боксит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Тимана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>»  компании РУСАЛ.</w:t>
      </w:r>
    </w:p>
    <w:p w:rsidR="00583B7A" w:rsidRDefault="00583B7A" w:rsidP="00583B7A">
      <w:pPr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Итоги Конкурса публикуются в печати. </w:t>
      </w:r>
    </w:p>
    <w:p w:rsidR="00583B7A" w:rsidRDefault="00583B7A" w:rsidP="00583B7A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  <w:r>
        <w:rPr>
          <w:b/>
          <w:kern w:val="0"/>
          <w:szCs w:val="24"/>
        </w:rPr>
        <w:t>ЗАЯВКА</w:t>
      </w:r>
    </w:p>
    <w:p w:rsidR="00583B7A" w:rsidRDefault="00583B7A" w:rsidP="00583B7A">
      <w:pPr>
        <w:keepNext/>
        <w:keepLines/>
        <w:pBdr>
          <w:right w:val="dashed" w:sz="4" w:space="4" w:color="auto"/>
        </w:pBdr>
        <w:suppressAutoHyphens/>
        <w:spacing w:before="120" w:line="276" w:lineRule="auto"/>
        <w:jc w:val="center"/>
        <w:outlineLvl w:val="0"/>
        <w:rPr>
          <w:b/>
          <w:bCs/>
          <w:color w:val="365F91"/>
          <w:kern w:val="0"/>
          <w:szCs w:val="24"/>
          <w:lang w:eastAsia="en-US"/>
        </w:rPr>
      </w:pPr>
      <w:r>
        <w:rPr>
          <w:b/>
          <w:bCs/>
          <w:color w:val="365F91"/>
          <w:kern w:val="0"/>
          <w:szCs w:val="24"/>
          <w:lang w:eastAsia="en-US"/>
        </w:rPr>
        <w:t>на участие в Региональном конкурсе исследовательских работ</w:t>
      </w:r>
    </w:p>
    <w:p w:rsidR="00583B7A" w:rsidRDefault="00583B7A" w:rsidP="00583B7A">
      <w:pPr>
        <w:spacing w:after="200" w:line="276" w:lineRule="auto"/>
        <w:jc w:val="center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b/>
          <w:kern w:val="0"/>
          <w:sz w:val="22"/>
          <w:szCs w:val="22"/>
          <w:lang w:eastAsia="en-US"/>
        </w:rPr>
        <w:t>«Алюминиевая азбука» на призы компании РУСАЛ</w:t>
      </w:r>
    </w:p>
    <w:p w:rsidR="00583B7A" w:rsidRDefault="00583B7A" w:rsidP="00583B7A">
      <w:pPr>
        <w:pBdr>
          <w:right w:val="dashed" w:sz="4" w:space="0" w:color="auto"/>
        </w:pBdr>
        <w:suppressAutoHyphens/>
        <w:spacing w:before="120" w:after="120" w:line="276" w:lineRule="auto"/>
        <w:jc w:val="center"/>
        <w:rPr>
          <w:rFonts w:ascii="Calibri" w:eastAsia="Calibri" w:hAnsi="Calibri"/>
          <w:bCs/>
          <w:iCs/>
          <w:kern w:val="0"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bCs/>
          <w:iCs/>
          <w:kern w:val="0"/>
          <w:sz w:val="22"/>
          <w:szCs w:val="22"/>
          <w:u w:val="single"/>
          <w:lang w:eastAsia="en-US"/>
        </w:rPr>
        <w:t>ЗАПОЛНЯЕТСЯ АВТОРОМ НА КАЖДЫЙ ДОКЛАД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1"/>
        <w:gridCol w:w="234"/>
        <w:gridCol w:w="672"/>
        <w:gridCol w:w="974"/>
        <w:gridCol w:w="756"/>
        <w:gridCol w:w="150"/>
        <w:gridCol w:w="150"/>
        <w:gridCol w:w="1266"/>
        <w:gridCol w:w="725"/>
        <w:gridCol w:w="735"/>
        <w:gridCol w:w="2318"/>
      </w:tblGrid>
      <w:tr w:rsidR="00583B7A" w:rsidTr="00583B7A">
        <w:tc>
          <w:tcPr>
            <w:tcW w:w="10988" w:type="dxa"/>
            <w:gridSpan w:val="11"/>
            <w:hideMark/>
          </w:tcPr>
          <w:p w:rsidR="00583B7A" w:rsidRDefault="00583B7A" w:rsidP="00500877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20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Автор:</w:t>
            </w:r>
          </w:p>
        </w:tc>
      </w:tr>
      <w:tr w:rsidR="00583B7A" w:rsidTr="00583B7A">
        <w:tc>
          <w:tcPr>
            <w:tcW w:w="1590" w:type="dxa"/>
            <w:hideMark/>
          </w:tcPr>
          <w:p w:rsidR="00583B7A" w:rsidRDefault="00583B7A">
            <w:pPr>
              <w:suppressAutoHyphens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33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suppressAutoHyphens/>
              <w:spacing w:after="200" w:line="276" w:lineRule="auto"/>
              <w:rPr>
                <w:rFonts w:ascii="Calibri" w:eastAsia="Calibri" w:hAnsi="Calibri"/>
                <w:bCs/>
                <w:i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137" w:type="dxa"/>
            <w:gridSpan w:val="3"/>
            <w:hideMark/>
          </w:tcPr>
          <w:p w:rsidR="00583B7A" w:rsidRDefault="00583B7A">
            <w:pPr>
              <w:suppressAutoHyphens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suppressAutoHyphens/>
              <w:spacing w:after="200" w:line="276" w:lineRule="auto"/>
              <w:rPr>
                <w:rFonts w:ascii="Calibri" w:eastAsia="Calibri" w:hAnsi="Calibri"/>
                <w:bCs/>
                <w:iCs/>
                <w:kern w:val="0"/>
                <w:sz w:val="22"/>
                <w:szCs w:val="22"/>
                <w:lang w:eastAsia="en-US"/>
              </w:rPr>
            </w:pPr>
          </w:p>
        </w:tc>
      </w:tr>
      <w:tr w:rsidR="00583B7A" w:rsidTr="00583B7A">
        <w:tc>
          <w:tcPr>
            <w:tcW w:w="1590" w:type="dxa"/>
            <w:hideMark/>
          </w:tcPr>
          <w:p w:rsidR="00583B7A" w:rsidRDefault="00583B7A">
            <w:pPr>
              <w:suppressAutoHyphens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33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suppressAutoHyphens/>
              <w:spacing w:after="200" w:line="276" w:lineRule="auto"/>
              <w:rPr>
                <w:rFonts w:ascii="Calibri" w:eastAsia="Calibri" w:hAnsi="Calibri"/>
                <w:bCs/>
                <w:i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137" w:type="dxa"/>
            <w:gridSpan w:val="3"/>
            <w:hideMark/>
          </w:tcPr>
          <w:p w:rsidR="00583B7A" w:rsidRDefault="00583B7A">
            <w:pPr>
              <w:suppressAutoHyphens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suppressAutoHyphens/>
              <w:spacing w:after="200" w:line="276" w:lineRule="auto"/>
              <w:rPr>
                <w:rFonts w:ascii="Calibri" w:eastAsia="Calibri" w:hAnsi="Calibri"/>
                <w:bCs/>
                <w:iCs/>
                <w:kern w:val="0"/>
                <w:sz w:val="22"/>
                <w:szCs w:val="22"/>
                <w:lang w:eastAsia="en-US"/>
              </w:rPr>
            </w:pPr>
          </w:p>
        </w:tc>
      </w:tr>
      <w:tr w:rsidR="00583B7A" w:rsidTr="00583B7A">
        <w:tc>
          <w:tcPr>
            <w:tcW w:w="4928" w:type="dxa"/>
            <w:gridSpan w:val="7"/>
            <w:hideMark/>
          </w:tcPr>
          <w:p w:rsidR="00583B7A" w:rsidRDefault="00583B7A" w:rsidP="00500877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 xml:space="preserve">Место учебы </w:t>
            </w:r>
            <w:r>
              <w:rPr>
                <w:kern w:val="0"/>
                <w:sz w:val="22"/>
                <w:szCs w:val="22"/>
              </w:rPr>
              <w:t>(полное название организации)</w:t>
            </w:r>
          </w:p>
        </w:tc>
        <w:tc>
          <w:tcPr>
            <w:tcW w:w="6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tabs>
                <w:tab w:val="left" w:pos="426"/>
              </w:tabs>
              <w:suppressAutoHyphens/>
              <w:spacing w:before="40" w:after="40"/>
              <w:contextualSpacing/>
              <w:rPr>
                <w:b/>
                <w:kern w:val="0"/>
                <w:sz w:val="22"/>
                <w:szCs w:val="22"/>
              </w:rPr>
            </w:pPr>
          </w:p>
        </w:tc>
      </w:tr>
      <w:tr w:rsidR="00583B7A" w:rsidTr="00583B7A">
        <w:tc>
          <w:tcPr>
            <w:tcW w:w="49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3B7A" w:rsidRDefault="00583B7A" w:rsidP="00500877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Класс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83B7A" w:rsidTr="00583B7A">
        <w:tc>
          <w:tcPr>
            <w:tcW w:w="4928" w:type="dxa"/>
            <w:gridSpan w:val="7"/>
            <w:hideMark/>
          </w:tcPr>
          <w:p w:rsidR="00583B7A" w:rsidRDefault="00583B7A" w:rsidP="00500877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Полный почтовый адрес организации</w:t>
            </w:r>
          </w:p>
        </w:tc>
        <w:tc>
          <w:tcPr>
            <w:tcW w:w="6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tabs>
                <w:tab w:val="left" w:pos="426"/>
              </w:tabs>
              <w:suppressAutoHyphens/>
              <w:spacing w:before="40" w:after="40"/>
              <w:contextualSpacing/>
              <w:rPr>
                <w:b/>
                <w:kern w:val="0"/>
                <w:sz w:val="22"/>
                <w:szCs w:val="22"/>
              </w:rPr>
            </w:pPr>
          </w:p>
        </w:tc>
      </w:tr>
      <w:tr w:rsidR="00583B7A" w:rsidTr="00583B7A">
        <w:tc>
          <w:tcPr>
            <w:tcW w:w="49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3B7A" w:rsidRDefault="00583B7A" w:rsidP="00500877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Полный почтовый домашний адрес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83B7A" w:rsidTr="00583B7A">
        <w:tc>
          <w:tcPr>
            <w:tcW w:w="4928" w:type="dxa"/>
            <w:gridSpan w:val="7"/>
            <w:hideMark/>
          </w:tcPr>
          <w:p w:rsidR="00583B7A" w:rsidRDefault="00583B7A" w:rsidP="00500877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20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 xml:space="preserve">Контактные телефоны </w:t>
            </w:r>
            <w:r>
              <w:rPr>
                <w:kern w:val="0"/>
                <w:sz w:val="22"/>
                <w:szCs w:val="22"/>
              </w:rPr>
              <w:t>(с указанием кода)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tabs>
                <w:tab w:val="left" w:pos="426"/>
              </w:tabs>
              <w:suppressAutoHyphens/>
              <w:spacing w:after="200" w:line="276" w:lineRule="auto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83B7A" w:rsidTr="00583B7A">
        <w:tc>
          <w:tcPr>
            <w:tcW w:w="3701" w:type="dxa"/>
            <w:gridSpan w:val="4"/>
            <w:hideMark/>
          </w:tcPr>
          <w:p w:rsidR="00583B7A" w:rsidRDefault="00583B7A" w:rsidP="00500877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20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E-</w:t>
            </w:r>
            <w:proofErr w:type="spellStart"/>
            <w:r>
              <w:rPr>
                <w:b/>
                <w:kern w:val="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72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tabs>
                <w:tab w:val="left" w:pos="426"/>
              </w:tabs>
              <w:suppressAutoHyphens/>
              <w:spacing w:after="200" w:line="276" w:lineRule="auto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83B7A" w:rsidTr="00583B7A">
        <w:tc>
          <w:tcPr>
            <w:tcW w:w="3701" w:type="dxa"/>
            <w:gridSpan w:val="4"/>
            <w:hideMark/>
          </w:tcPr>
          <w:p w:rsidR="00583B7A" w:rsidRDefault="00583B7A" w:rsidP="00500877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Название номинации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83B7A" w:rsidTr="00583B7A">
        <w:tc>
          <w:tcPr>
            <w:tcW w:w="3701" w:type="dxa"/>
            <w:gridSpan w:val="4"/>
            <w:hideMark/>
          </w:tcPr>
          <w:p w:rsidR="00583B7A" w:rsidRDefault="00583B7A" w:rsidP="00500877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Название доклада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83B7A" w:rsidTr="00583B7A">
        <w:tc>
          <w:tcPr>
            <w:tcW w:w="63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B7A" w:rsidRDefault="00583B7A">
            <w:pPr>
              <w:tabs>
                <w:tab w:val="left" w:pos="426"/>
              </w:tabs>
              <w:suppressAutoHyphens/>
              <w:spacing w:before="40" w:after="40"/>
              <w:ind w:left="357"/>
              <w:contextualSpacing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83B7A" w:rsidTr="00583B7A">
        <w:tc>
          <w:tcPr>
            <w:tcW w:w="2649" w:type="dxa"/>
            <w:gridSpan w:val="3"/>
            <w:hideMark/>
          </w:tcPr>
          <w:p w:rsidR="00583B7A" w:rsidRDefault="00583B7A" w:rsidP="00500877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Руководитель 1:</w:t>
            </w:r>
          </w:p>
        </w:tc>
        <w:tc>
          <w:tcPr>
            <w:tcW w:w="1919" w:type="dxa"/>
            <w:gridSpan w:val="2"/>
            <w:hideMark/>
          </w:tcPr>
          <w:p w:rsidR="00583B7A" w:rsidRDefault="00583B7A">
            <w:pPr>
              <w:suppressAutoHyphens/>
              <w:spacing w:before="40" w:after="40" w:line="276" w:lineRule="auto"/>
              <w:jc w:val="right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6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suppressAutoHyphens/>
              <w:spacing w:before="40" w:after="40" w:line="276" w:lineRule="auto"/>
              <w:rPr>
                <w:rFonts w:ascii="Calibri" w:eastAsia="Calibri" w:hAnsi="Calibri"/>
                <w:bCs/>
                <w:iCs/>
                <w:kern w:val="0"/>
                <w:sz w:val="22"/>
                <w:szCs w:val="22"/>
                <w:lang w:eastAsia="en-US"/>
              </w:rPr>
            </w:pPr>
          </w:p>
        </w:tc>
      </w:tr>
      <w:tr w:rsidR="00583B7A" w:rsidTr="00583B7A">
        <w:tc>
          <w:tcPr>
            <w:tcW w:w="1849" w:type="dxa"/>
            <w:gridSpan w:val="2"/>
            <w:hideMark/>
          </w:tcPr>
          <w:p w:rsidR="00583B7A" w:rsidRDefault="00583B7A">
            <w:pPr>
              <w:suppressAutoHyphens/>
              <w:spacing w:before="40" w:after="40" w:line="276" w:lineRule="auto"/>
              <w:ind w:firstLine="284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suppressAutoHyphens/>
              <w:spacing w:before="40" w:after="4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3B7A" w:rsidRDefault="00583B7A">
            <w:pPr>
              <w:suppressAutoHyphens/>
              <w:spacing w:before="40" w:after="40" w:line="276" w:lineRule="auto"/>
              <w:ind w:firstLine="15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suppressAutoHyphens/>
              <w:spacing w:before="40" w:after="4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583B7A" w:rsidTr="00583B7A">
        <w:tc>
          <w:tcPr>
            <w:tcW w:w="1849" w:type="dxa"/>
            <w:gridSpan w:val="2"/>
            <w:hideMark/>
          </w:tcPr>
          <w:p w:rsidR="00583B7A" w:rsidRDefault="00583B7A">
            <w:pPr>
              <w:suppressAutoHyphens/>
              <w:spacing w:before="40" w:after="40" w:line="276" w:lineRule="auto"/>
              <w:ind w:firstLine="284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Ученая Степень</w:t>
            </w: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suppressAutoHyphens/>
              <w:spacing w:before="40" w:after="4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gridSpan w:val="2"/>
            <w:hideMark/>
          </w:tcPr>
          <w:p w:rsidR="00583B7A" w:rsidRDefault="00583B7A">
            <w:pPr>
              <w:suppressAutoHyphens/>
              <w:spacing w:before="40" w:after="40" w:line="276" w:lineRule="auto"/>
              <w:ind w:firstLine="15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 xml:space="preserve">Ученое </w:t>
            </w:r>
          </w:p>
          <w:p w:rsidR="00583B7A" w:rsidRDefault="00583B7A">
            <w:pPr>
              <w:suppressAutoHyphens/>
              <w:spacing w:before="40" w:after="40" w:line="276" w:lineRule="auto"/>
              <w:ind w:firstLine="15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Звание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suppressAutoHyphens/>
              <w:spacing w:before="40" w:after="4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583B7A" w:rsidTr="00583B7A">
        <w:tc>
          <w:tcPr>
            <w:tcW w:w="1849" w:type="dxa"/>
            <w:gridSpan w:val="2"/>
            <w:hideMark/>
          </w:tcPr>
          <w:p w:rsidR="00583B7A" w:rsidRDefault="00583B7A">
            <w:pPr>
              <w:suppressAutoHyphens/>
              <w:spacing w:before="40" w:after="40" w:line="276" w:lineRule="auto"/>
              <w:ind w:firstLine="284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91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B7A" w:rsidRDefault="00583B7A">
            <w:pPr>
              <w:suppressAutoHyphens/>
              <w:spacing w:before="40" w:after="40" w:line="276" w:lineRule="auto"/>
              <w:rPr>
                <w:rFonts w:ascii="Calibri" w:eastAsia="Calibri" w:hAnsi="Calibri"/>
                <w:bCs/>
                <w:iCs/>
                <w:kern w:val="0"/>
                <w:sz w:val="22"/>
                <w:szCs w:val="22"/>
                <w:lang w:eastAsia="en-US"/>
              </w:rPr>
            </w:pPr>
          </w:p>
        </w:tc>
      </w:tr>
      <w:tr w:rsidR="00583B7A" w:rsidTr="00583B7A">
        <w:tc>
          <w:tcPr>
            <w:tcW w:w="4748" w:type="dxa"/>
            <w:gridSpan w:val="6"/>
            <w:hideMark/>
          </w:tcPr>
          <w:p w:rsidR="00583B7A" w:rsidRDefault="00583B7A" w:rsidP="00500877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 xml:space="preserve">Участие (для </w:t>
            </w:r>
            <w:proofErr w:type="gramStart"/>
            <w:r>
              <w:rPr>
                <w:b/>
                <w:kern w:val="0"/>
                <w:sz w:val="22"/>
                <w:szCs w:val="22"/>
              </w:rPr>
              <w:t>иногородних</w:t>
            </w:r>
            <w:proofErr w:type="gramEnd"/>
            <w:r>
              <w:rPr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6240" w:type="dxa"/>
            <w:gridSpan w:val="5"/>
            <w:hideMark/>
          </w:tcPr>
          <w:p w:rsidR="00583B7A" w:rsidRDefault="00583B7A">
            <w:pPr>
              <w:tabs>
                <w:tab w:val="left" w:pos="1593"/>
              </w:tabs>
              <w:suppressAutoHyphens/>
              <w:spacing w:before="40" w:after="40" w:line="276" w:lineRule="auto"/>
              <w:rPr>
                <w:rFonts w:ascii="Calibri" w:eastAsia="Calibri" w:hAnsi="Calibri"/>
                <w:bCs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sym w:font="Wingdings" w:char="F071"/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 xml:space="preserve"> – очно</w:t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ab/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sym w:font="Wingdings" w:char="F071"/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 xml:space="preserve"> – заочно</w:t>
            </w:r>
          </w:p>
        </w:tc>
      </w:tr>
      <w:tr w:rsidR="00583B7A" w:rsidTr="00583B7A">
        <w:tc>
          <w:tcPr>
            <w:tcW w:w="4748" w:type="dxa"/>
            <w:gridSpan w:val="6"/>
          </w:tcPr>
          <w:p w:rsidR="00583B7A" w:rsidRDefault="00583B7A">
            <w:pPr>
              <w:tabs>
                <w:tab w:val="left" w:pos="426"/>
              </w:tabs>
              <w:suppressAutoHyphens/>
              <w:spacing w:before="40" w:after="40"/>
              <w:contextualSpacing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6240" w:type="dxa"/>
            <w:gridSpan w:val="5"/>
          </w:tcPr>
          <w:p w:rsidR="00583B7A" w:rsidRDefault="00583B7A">
            <w:pPr>
              <w:suppressAutoHyphens/>
              <w:spacing w:before="40" w:after="40" w:line="276" w:lineRule="auto"/>
              <w:rPr>
                <w:rFonts w:ascii="Calibri" w:eastAsia="Calibri" w:hAnsi="Calibri"/>
                <w:bCs/>
                <w:iCs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583B7A" w:rsidRDefault="00583B7A" w:rsidP="00583B7A">
      <w:pPr>
        <w:spacing w:after="200" w:line="276" w:lineRule="auto"/>
        <w:jc w:val="center"/>
        <w:rPr>
          <w:rFonts w:ascii="Calibri" w:eastAsia="Calibri" w:hAnsi="Calibri"/>
          <w:b/>
          <w:bCs/>
          <w:kern w:val="0"/>
          <w:sz w:val="22"/>
          <w:szCs w:val="22"/>
          <w:lang w:eastAsia="en-US"/>
        </w:rPr>
      </w:pPr>
    </w:p>
    <w:p w:rsidR="00AD5EAF" w:rsidRDefault="00AD5EAF"/>
    <w:sectPr w:rsidR="00AD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4789"/>
    <w:multiLevelType w:val="hybridMultilevel"/>
    <w:tmpl w:val="2190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E410B"/>
    <w:multiLevelType w:val="hybridMultilevel"/>
    <w:tmpl w:val="88164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B0"/>
    <w:rsid w:val="000B63B0"/>
    <w:rsid w:val="00583B7A"/>
    <w:rsid w:val="00AD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7A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7A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2</cp:revision>
  <dcterms:created xsi:type="dcterms:W3CDTF">2020-01-10T13:01:00Z</dcterms:created>
  <dcterms:modified xsi:type="dcterms:W3CDTF">2020-01-10T13:02:00Z</dcterms:modified>
</cp:coreProperties>
</file>