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8" w:rsidRDefault="00E80568" w:rsidP="00A87068">
      <w:pPr>
        <w:jc w:val="center"/>
        <w:rPr>
          <w:b/>
          <w:bCs/>
        </w:rPr>
      </w:pPr>
      <w:r>
        <w:rPr>
          <w:b/>
          <w:bCs/>
        </w:rPr>
        <w:t xml:space="preserve">Предприятие «Боксит </w:t>
      </w:r>
      <w:proofErr w:type="spellStart"/>
      <w:r>
        <w:rPr>
          <w:b/>
          <w:bCs/>
        </w:rPr>
        <w:t>Тимана</w:t>
      </w:r>
      <w:proofErr w:type="spellEnd"/>
      <w:r>
        <w:rPr>
          <w:b/>
          <w:bCs/>
        </w:rPr>
        <w:t>» увеличило добычу руды в первом квартале 2020 года на 7,5 %</w:t>
      </w:r>
    </w:p>
    <w:p w:rsidR="00A87068" w:rsidRDefault="00A87068" w:rsidP="00A87068">
      <w:pPr>
        <w:jc w:val="both"/>
      </w:pPr>
    </w:p>
    <w:p w:rsidR="00E80568" w:rsidRPr="00E80568" w:rsidRDefault="00A87068" w:rsidP="00E805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РУСАЛ (торговый код на Гонконгской фондовой бирже 486, на Московской бирже RUAL), один из крупнейших в мире производителей алюминия, объявляет результаты операционной деятельности компании в 1 квартале 2020 года.</w:t>
      </w:r>
      <w:r w:rsidR="00E80568">
        <w:rPr>
          <w:b/>
          <w:bCs/>
          <w:sz w:val="22"/>
          <w:szCs w:val="22"/>
        </w:rPr>
        <w:t xml:space="preserve"> </w:t>
      </w:r>
      <w:r w:rsidR="00E80568" w:rsidRPr="00E80568">
        <w:rPr>
          <w:b/>
          <w:bCs/>
          <w:sz w:val="22"/>
          <w:szCs w:val="22"/>
        </w:rPr>
        <w:t xml:space="preserve">Об этом сообщает пресс-служба предприятия "Боксит </w:t>
      </w:r>
      <w:proofErr w:type="spellStart"/>
      <w:r w:rsidR="00E80568" w:rsidRPr="00E80568">
        <w:rPr>
          <w:b/>
          <w:bCs/>
          <w:sz w:val="22"/>
          <w:szCs w:val="22"/>
        </w:rPr>
        <w:t>Тимана</w:t>
      </w:r>
      <w:proofErr w:type="spellEnd"/>
      <w:r w:rsidR="00E80568" w:rsidRPr="00E80568">
        <w:rPr>
          <w:b/>
          <w:bCs/>
          <w:sz w:val="22"/>
          <w:szCs w:val="22"/>
        </w:rPr>
        <w:t>".</w:t>
      </w:r>
    </w:p>
    <w:p w:rsidR="00E80568" w:rsidRDefault="00E80568" w:rsidP="00E80568">
      <w:pPr>
        <w:jc w:val="both"/>
        <w:rPr>
          <w:b/>
          <w:bCs/>
          <w:sz w:val="22"/>
          <w:szCs w:val="22"/>
        </w:rPr>
      </w:pPr>
    </w:p>
    <w:p w:rsidR="00E80568" w:rsidRPr="003E4324" w:rsidRDefault="00E80568" w:rsidP="00E80568">
      <w:pPr>
        <w:rPr>
          <w:bCs/>
          <w:sz w:val="22"/>
          <w:szCs w:val="22"/>
        </w:rPr>
      </w:pPr>
      <w:r w:rsidRPr="003E4324">
        <w:rPr>
          <w:bCs/>
          <w:sz w:val="22"/>
          <w:szCs w:val="22"/>
        </w:rPr>
        <w:t xml:space="preserve">В </w:t>
      </w:r>
      <w:proofErr w:type="spellStart"/>
      <w:r w:rsidRPr="003E4324">
        <w:rPr>
          <w:bCs/>
          <w:sz w:val="22"/>
          <w:szCs w:val="22"/>
        </w:rPr>
        <w:t>РУСАЛе</w:t>
      </w:r>
      <w:proofErr w:type="spellEnd"/>
      <w:r w:rsidRPr="003E4324">
        <w:rPr>
          <w:bCs/>
          <w:sz w:val="22"/>
          <w:szCs w:val="22"/>
        </w:rPr>
        <w:t xml:space="preserve"> объем производства алюминия в 1 квартале 2020 года составил 940 тыс. тонн</w:t>
      </w:r>
      <w:r w:rsidR="003E4324">
        <w:rPr>
          <w:bCs/>
          <w:sz w:val="22"/>
          <w:szCs w:val="22"/>
        </w:rPr>
        <w:t>.</w:t>
      </w:r>
      <w:r w:rsidRPr="003E4324">
        <w:rPr>
          <w:bCs/>
          <w:sz w:val="22"/>
          <w:szCs w:val="22"/>
        </w:rPr>
        <w:t xml:space="preserve"> </w:t>
      </w:r>
      <w:r w:rsidR="003E4324">
        <w:rPr>
          <w:bCs/>
          <w:sz w:val="22"/>
          <w:szCs w:val="22"/>
        </w:rPr>
        <w:t>П</w:t>
      </w:r>
      <w:r w:rsidRPr="003E4324">
        <w:rPr>
          <w:bCs/>
          <w:sz w:val="22"/>
          <w:szCs w:val="22"/>
        </w:rPr>
        <w:t>роизводства глинозема составил</w:t>
      </w:r>
      <w:r w:rsidR="003E4324">
        <w:rPr>
          <w:bCs/>
          <w:sz w:val="22"/>
          <w:szCs w:val="22"/>
        </w:rPr>
        <w:t>о</w:t>
      </w:r>
      <w:r w:rsidRPr="003E4324">
        <w:rPr>
          <w:bCs/>
          <w:sz w:val="22"/>
          <w:szCs w:val="22"/>
        </w:rPr>
        <w:t xml:space="preserve"> 2 013 тыс. тонн. В России произведено 35% от общего объема глинозема. </w:t>
      </w:r>
    </w:p>
    <w:p w:rsidR="003E4324" w:rsidRDefault="003E4324" w:rsidP="003E4324">
      <w:pPr>
        <w:jc w:val="both"/>
        <w:rPr>
          <w:bCs/>
          <w:sz w:val="22"/>
          <w:szCs w:val="22"/>
        </w:rPr>
      </w:pPr>
    </w:p>
    <w:p w:rsidR="003E4324" w:rsidRPr="003E4324" w:rsidRDefault="003E4324" w:rsidP="003E4324">
      <w:pPr>
        <w:jc w:val="both"/>
        <w:rPr>
          <w:bCs/>
          <w:sz w:val="22"/>
          <w:szCs w:val="22"/>
        </w:rPr>
      </w:pPr>
      <w:r w:rsidRPr="003E4324">
        <w:rPr>
          <w:bCs/>
          <w:sz w:val="22"/>
          <w:szCs w:val="22"/>
        </w:rPr>
        <w:t>В 1 квартале 2020 года добыча бокситов составила 3 577 тыс. тонн. Добыча нефелиновой руды увеличилась на 0,8% по сравнению с предыдущим кварталом и составила 1 083 тыс. тонн.</w:t>
      </w:r>
    </w:p>
    <w:p w:rsidR="00A87068" w:rsidRPr="003E4324" w:rsidRDefault="00E80568" w:rsidP="003E4324">
      <w:pPr>
        <w:jc w:val="both"/>
        <w:rPr>
          <w:bCs/>
          <w:sz w:val="22"/>
          <w:szCs w:val="22"/>
        </w:rPr>
      </w:pPr>
      <w:r w:rsidRPr="003E4324">
        <w:rPr>
          <w:bCs/>
          <w:sz w:val="22"/>
          <w:szCs w:val="22"/>
        </w:rPr>
        <w:t xml:space="preserve">На предприятии "Боксит </w:t>
      </w:r>
      <w:proofErr w:type="spellStart"/>
      <w:r w:rsidRPr="003E4324">
        <w:rPr>
          <w:bCs/>
          <w:sz w:val="22"/>
          <w:szCs w:val="22"/>
        </w:rPr>
        <w:t>Тимана</w:t>
      </w:r>
      <w:proofErr w:type="spellEnd"/>
      <w:r w:rsidRPr="003E4324">
        <w:rPr>
          <w:bCs/>
          <w:sz w:val="22"/>
          <w:szCs w:val="22"/>
        </w:rPr>
        <w:t xml:space="preserve">", которое входит в </w:t>
      </w:r>
      <w:r w:rsidR="00B21B17">
        <w:rPr>
          <w:bCs/>
          <w:sz w:val="22"/>
          <w:szCs w:val="22"/>
        </w:rPr>
        <w:t>компанию</w:t>
      </w:r>
      <w:bookmarkStart w:id="0" w:name="_GoBack"/>
      <w:bookmarkEnd w:id="0"/>
      <w:r w:rsidRPr="003E4324">
        <w:rPr>
          <w:bCs/>
          <w:sz w:val="22"/>
          <w:szCs w:val="22"/>
        </w:rPr>
        <w:t xml:space="preserve"> РУСАЛ, </w:t>
      </w:r>
      <w:r w:rsidR="003E4324" w:rsidRPr="003E4324">
        <w:rPr>
          <w:bCs/>
          <w:sz w:val="22"/>
          <w:szCs w:val="22"/>
        </w:rPr>
        <w:t xml:space="preserve">в 1 квартале 2020 года </w:t>
      </w:r>
      <w:r w:rsidRPr="003E4324">
        <w:rPr>
          <w:bCs/>
          <w:sz w:val="22"/>
          <w:szCs w:val="22"/>
        </w:rPr>
        <w:t xml:space="preserve">добыто </w:t>
      </w:r>
      <w:r w:rsidR="003E4324">
        <w:rPr>
          <w:bCs/>
          <w:sz w:val="22"/>
          <w:szCs w:val="22"/>
        </w:rPr>
        <w:t>703 тыс.</w:t>
      </w:r>
      <w:r w:rsidRPr="003E4324">
        <w:rPr>
          <w:bCs/>
          <w:sz w:val="22"/>
          <w:szCs w:val="22"/>
        </w:rPr>
        <w:t xml:space="preserve"> тонн руды, что на</w:t>
      </w:r>
      <w:r w:rsidR="003E4324">
        <w:rPr>
          <w:bCs/>
          <w:sz w:val="22"/>
          <w:szCs w:val="22"/>
        </w:rPr>
        <w:t xml:space="preserve"> 7,5% процента</w:t>
      </w:r>
      <w:r w:rsidRPr="003E4324">
        <w:rPr>
          <w:bCs/>
          <w:sz w:val="22"/>
          <w:szCs w:val="22"/>
        </w:rPr>
        <w:t xml:space="preserve"> выше, чем в  </w:t>
      </w:r>
      <w:r w:rsidR="003E4324">
        <w:rPr>
          <w:bCs/>
          <w:sz w:val="22"/>
          <w:szCs w:val="22"/>
        </w:rPr>
        <w:t>4-ом квартале 2019 г.</w:t>
      </w:r>
    </w:p>
    <w:p w:rsidR="00A87068" w:rsidRDefault="00A87068" w:rsidP="00A87068">
      <w:pPr>
        <w:jc w:val="both"/>
        <w:rPr>
          <w:b/>
          <w:bCs/>
          <w:color w:val="0070C0"/>
          <w:sz w:val="22"/>
          <w:szCs w:val="22"/>
        </w:rPr>
      </w:pPr>
    </w:p>
    <w:p w:rsidR="00A87068" w:rsidRDefault="00A87068" w:rsidP="003E4324">
      <w:pPr>
        <w:snapToGrid w:val="0"/>
        <w:spacing w:after="40"/>
        <w:jc w:val="both"/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Вспышка COVID-19 полностью изменила рыночные перспективы на 2020 год. Ожидается, что факторы, связанные с </w:t>
      </w:r>
      <w:proofErr w:type="spellStart"/>
      <w:r>
        <w:rPr>
          <w:rFonts w:eastAsia="Times New Roman"/>
          <w:sz w:val="22"/>
          <w:szCs w:val="22"/>
        </w:rPr>
        <w:t>коронавирусом</w:t>
      </w:r>
      <w:proofErr w:type="spellEnd"/>
      <w:r>
        <w:rPr>
          <w:rFonts w:eastAsia="Times New Roman"/>
          <w:sz w:val="22"/>
          <w:szCs w:val="22"/>
        </w:rPr>
        <w:t xml:space="preserve">, серьезно повлияют на деловой климат во всех регионах. Быстрое распространение вируса в Европе, Северной Америке, Индии и России приведет к ухудшению ключевых параметров рынка алюминия в 2020 году. </w:t>
      </w:r>
    </w:p>
    <w:p w:rsidR="003E4324" w:rsidRDefault="003E4324" w:rsidP="00A87068">
      <w:pPr>
        <w:snapToGrid w:val="0"/>
        <w:spacing w:after="40"/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snapToGrid w:val="0"/>
        <w:spacing w:after="40"/>
        <w:jc w:val="both"/>
      </w:pPr>
      <w:r>
        <w:rPr>
          <w:b/>
          <w:bCs/>
          <w:sz w:val="22"/>
          <w:szCs w:val="22"/>
        </w:rPr>
        <w:t xml:space="preserve">Комментируя результаты 2019 года, генеральный директор </w:t>
      </w:r>
      <w:proofErr w:type="spellStart"/>
      <w:r>
        <w:rPr>
          <w:b/>
          <w:bCs/>
          <w:sz w:val="22"/>
          <w:szCs w:val="22"/>
        </w:rPr>
        <w:t>РУСАЛа</w:t>
      </w:r>
      <w:proofErr w:type="spellEnd"/>
      <w:r>
        <w:rPr>
          <w:b/>
          <w:bCs/>
          <w:sz w:val="22"/>
          <w:szCs w:val="22"/>
        </w:rPr>
        <w:t xml:space="preserve"> Евгений Никитин отметил</w:t>
      </w:r>
      <w:r>
        <w:t>:</w:t>
      </w:r>
    </w:p>
    <w:p w:rsidR="00A87068" w:rsidRDefault="00A87068" w:rsidP="00A87068">
      <w:pPr>
        <w:snapToGrid w:val="0"/>
        <w:spacing w:after="40"/>
        <w:jc w:val="both"/>
      </w:pPr>
    </w:p>
    <w:p w:rsidR="00A87068" w:rsidRDefault="00A87068" w:rsidP="00A87068">
      <w:pPr>
        <w:snapToGrid w:val="0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«Сегодня весь мир оказался в новой парадигме – сложной и непредсказуемой ситуации. Влияние возникших в связи с пандемией проблем на экономику еще предстоит оценить, но они, безусловно, отразятся на всех секторах промышленности, включая алюминиевую отрасль. Уже сейчас можно прогнозировать, что связанные с </w:t>
      </w:r>
      <w:proofErr w:type="spellStart"/>
      <w:r>
        <w:rPr>
          <w:sz w:val="22"/>
          <w:szCs w:val="22"/>
        </w:rPr>
        <w:t>коронавирусом</w:t>
      </w:r>
      <w:proofErr w:type="spellEnd"/>
      <w:r>
        <w:rPr>
          <w:sz w:val="22"/>
          <w:szCs w:val="22"/>
        </w:rPr>
        <w:t xml:space="preserve"> изменения могут значительно снизить спрос на алюминий и изменить привычные </w:t>
      </w:r>
      <w:proofErr w:type="gramStart"/>
      <w:r>
        <w:rPr>
          <w:sz w:val="22"/>
          <w:szCs w:val="22"/>
        </w:rPr>
        <w:t>бизнес-модели</w:t>
      </w:r>
      <w:proofErr w:type="gramEnd"/>
      <w:r>
        <w:rPr>
          <w:sz w:val="22"/>
          <w:szCs w:val="22"/>
        </w:rPr>
        <w:t>.</w:t>
      </w:r>
    </w:p>
    <w:p w:rsidR="00A87068" w:rsidRDefault="00A87068" w:rsidP="00A87068">
      <w:pPr>
        <w:snapToGrid w:val="0"/>
        <w:spacing w:after="40"/>
        <w:jc w:val="both"/>
        <w:rPr>
          <w:sz w:val="22"/>
          <w:szCs w:val="22"/>
        </w:rPr>
      </w:pPr>
    </w:p>
    <w:p w:rsidR="00A87068" w:rsidRDefault="00A87068" w:rsidP="00A87068">
      <w:pPr>
        <w:snapToGrid w:val="0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Несмотря на экономические вызовы первых трех месяцев текущего года, РУСАЛ завершил отчетный период с хорошими операционными результатами благодаря профессиональной работе и гибкости в принятии решений менеджмента компании. В 1 квартале 2020 года снизились на 17,4% по сравнению с 4 кварталом 2019 года продажи алюминия, однако это снижение – эффект высокой базы, связанной с ростом продаж в последние три месяца прошлого года. При этом по сравнению с аналогичным периодом прошлого года в 1 квартале 2020 года продажи выросли на 2,0%. Также доля продукции с добавленной стоимостью в общем объеме продаж стала сопоставимой с уровнем 2017 года до введения санкций OFAC – в 1 квартале 2020 года она составила 46%.</w:t>
      </w:r>
    </w:p>
    <w:p w:rsidR="00A87068" w:rsidRDefault="00A87068" w:rsidP="00A87068">
      <w:pPr>
        <w:snapToGrid w:val="0"/>
        <w:spacing w:after="40"/>
        <w:jc w:val="both"/>
        <w:rPr>
          <w:sz w:val="22"/>
          <w:szCs w:val="22"/>
        </w:rPr>
      </w:pPr>
    </w:p>
    <w:p w:rsidR="00A87068" w:rsidRDefault="00A87068" w:rsidP="00A87068">
      <w:pPr>
        <w:snapToGrid w:val="0"/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Экономическая модель </w:t>
      </w:r>
      <w:proofErr w:type="spellStart"/>
      <w:r>
        <w:rPr>
          <w:sz w:val="22"/>
          <w:szCs w:val="22"/>
        </w:rPr>
        <w:t>РУСАЛа</w:t>
      </w:r>
      <w:proofErr w:type="spellEnd"/>
      <w:r>
        <w:rPr>
          <w:sz w:val="22"/>
          <w:szCs w:val="22"/>
        </w:rPr>
        <w:t xml:space="preserve"> доказала свою эффективность и адаптивность в периоды волатильности рынка. У </w:t>
      </w:r>
      <w:proofErr w:type="spellStart"/>
      <w:r>
        <w:rPr>
          <w:sz w:val="22"/>
          <w:szCs w:val="22"/>
        </w:rPr>
        <w:t>РУСАЛа</w:t>
      </w:r>
      <w:proofErr w:type="spellEnd"/>
      <w:r>
        <w:rPr>
          <w:sz w:val="22"/>
          <w:szCs w:val="22"/>
        </w:rPr>
        <w:t xml:space="preserve"> один из самых низких показателей производственных затрат на тонну продукции в отрасли, что в непредсказуемых рыночных условиях дает нам определенные преимущества. Кроме того, компании пока не пришлось приостанавливать производство, мы одними из первых ввели необходимые меры для предотвращения распространения </w:t>
      </w:r>
      <w:proofErr w:type="spellStart"/>
      <w:r>
        <w:rPr>
          <w:sz w:val="22"/>
          <w:szCs w:val="22"/>
        </w:rPr>
        <w:t>коронавируса</w:t>
      </w:r>
      <w:proofErr w:type="spellEnd"/>
      <w:r>
        <w:rPr>
          <w:sz w:val="22"/>
          <w:szCs w:val="22"/>
        </w:rPr>
        <w:t>, чтобы защитить сотрудников, сохранив производство. Наш подход к ведению бизнеса позволяет нам сосредоточиться на наших обязательствах перед клиентами, не подвергая угрозе здоровье и безопасность персонала. Мы рады, что можем и дальше выполнять обязательства и тем самым поддерживать наших клиентов в это непростое время».</w:t>
      </w:r>
    </w:p>
    <w:p w:rsidR="00A87068" w:rsidRDefault="00A87068" w:rsidP="00A87068">
      <w:pPr>
        <w:snapToGrid w:val="0"/>
        <w:spacing w:after="40"/>
        <w:jc w:val="both"/>
        <w:rPr>
          <w:color w:val="0070C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2"/>
        <w:gridCol w:w="1191"/>
        <w:gridCol w:w="1133"/>
        <w:gridCol w:w="1609"/>
        <w:gridCol w:w="1402"/>
        <w:gridCol w:w="1354"/>
      </w:tblGrid>
      <w:tr w:rsidR="00A87068" w:rsidTr="00A87068">
        <w:trPr>
          <w:trHeight w:val="513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Основные операционные показатели</w:t>
            </w:r>
            <w:r>
              <w:rPr>
                <w:rStyle w:val="af4"/>
                <w:b/>
                <w:bCs/>
                <w:sz w:val="22"/>
                <w:szCs w:val="22"/>
              </w:rPr>
              <w:footnoteReference w:customMarkFollows="1" w:id="1"/>
              <w:t>[9]</w:t>
            </w:r>
          </w:p>
          <w:p w:rsidR="00A87068" w:rsidRDefault="00A8706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1-й квартал 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4-й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Изменение,   1-й кв. к 4-му   кв., % 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1-й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 1-й кв. к  1-му кв., %</w:t>
            </w:r>
          </w:p>
        </w:tc>
      </w:tr>
      <w:tr w:rsidR="00A87068" w:rsidTr="00A87068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  <w:rPr>
                <w:i/>
                <w:iCs/>
              </w:rPr>
            </w:pP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41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Алюминий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-0,9%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1,3%</w:t>
            </w:r>
          </w:p>
        </w:tc>
      </w:tr>
      <w:tr w:rsidR="00A87068" w:rsidTr="00A87068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Коэффициент загрузки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97%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97%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97%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A87068" w:rsidTr="00A87068">
        <w:trPr>
          <w:trHeight w:val="513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 xml:space="preserve">Фольга </w:t>
            </w:r>
          </w:p>
          <w:p w:rsidR="00A87068" w:rsidRDefault="00A87068">
            <w:r>
              <w:rPr>
                <w:sz w:val="22"/>
                <w:szCs w:val="22"/>
              </w:rPr>
              <w:t>и упаковка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1,4%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5,5%</w:t>
            </w:r>
          </w:p>
        </w:tc>
      </w:tr>
      <w:tr w:rsidR="00A87068" w:rsidTr="00A87068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Глинозем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2 013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2 050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-1,8%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1 932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4,2%</w:t>
            </w:r>
          </w:p>
        </w:tc>
      </w:tr>
      <w:tr w:rsidR="00A87068" w:rsidTr="00A87068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Бокситы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3 577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4 026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-11,2%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3 831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-6,6%</w:t>
            </w:r>
          </w:p>
        </w:tc>
      </w:tr>
      <w:tr w:rsidR="00A87068" w:rsidTr="00A87068">
        <w:trPr>
          <w:trHeight w:val="256"/>
        </w:trPr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Нефелиновая руда</w:t>
            </w:r>
          </w:p>
        </w:tc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1 074</w:t>
            </w:r>
          </w:p>
        </w:tc>
        <w:tc>
          <w:tcPr>
            <w:tcW w:w="1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0,8%</w:t>
            </w:r>
          </w:p>
        </w:tc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7,3%</w:t>
            </w:r>
          </w:p>
        </w:tc>
      </w:tr>
    </w:tbl>
    <w:p w:rsidR="00A87068" w:rsidRDefault="00A87068" w:rsidP="00A87068">
      <w:pPr>
        <w:rPr>
          <w:sz w:val="22"/>
          <w:szCs w:val="22"/>
          <w:lang w:val="en-US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1036"/>
        <w:gridCol w:w="1073"/>
        <w:gridCol w:w="1649"/>
        <w:gridCol w:w="1395"/>
        <w:gridCol w:w="1354"/>
      </w:tblGrid>
      <w:tr w:rsidR="00A87068" w:rsidTr="00A87068">
        <w:trPr>
          <w:trHeight w:val="531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Данные по реализации</w:t>
            </w:r>
          </w:p>
          <w:p w:rsidR="00A87068" w:rsidRDefault="00A8706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1-</w:t>
            </w:r>
            <w:r>
              <w:rPr>
                <w:b/>
                <w:bCs/>
                <w:sz w:val="22"/>
                <w:szCs w:val="22"/>
              </w:rPr>
              <w:t>й квартал 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sz w:val="22"/>
                <w:szCs w:val="22"/>
              </w:rPr>
              <w:t>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  1-й кв. к 4-му   кв., 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1-</w:t>
            </w:r>
            <w:r>
              <w:rPr>
                <w:b/>
                <w:bCs/>
                <w:sz w:val="22"/>
                <w:szCs w:val="22"/>
              </w:rPr>
              <w:t>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 1-й кв. к  1-му кв., %</w:t>
            </w:r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48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Реализация алюминия, включая,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1 107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-17,4%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896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2,0%</w:t>
            </w:r>
          </w:p>
        </w:tc>
      </w:tr>
      <w:tr w:rsidR="00A87068" w:rsidTr="00A87068">
        <w:trPr>
          <w:trHeight w:val="531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068" w:rsidRDefault="00A87068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реализацию алюминия, произведенного на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БоАЗе</w:t>
            </w:r>
            <w:proofErr w:type="spellEnd"/>
            <w:r w:rsidRPr="00A87068">
              <w:rPr>
                <w:rStyle w:val="af4"/>
                <w:b/>
                <w:bCs/>
                <w:i/>
                <w:iCs/>
                <w:sz w:val="22"/>
                <w:szCs w:val="22"/>
              </w:rPr>
              <w:footnoteReference w:customMarkFollows="1" w:id="2"/>
              <w:t>[10]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-24,2%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67,2%</w:t>
            </w:r>
          </w:p>
        </w:tc>
      </w:tr>
      <w:tr w:rsidR="00A87068" w:rsidTr="00A87068">
        <w:trPr>
          <w:trHeight w:val="531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7068" w:rsidRDefault="00A87068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реализацию алюминия, произведенного третьими сторонами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302,0%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564,4%</w:t>
            </w:r>
          </w:p>
        </w:tc>
      </w:tr>
      <w:tr w:rsidR="00A87068" w:rsidTr="00A87068">
        <w:trPr>
          <w:trHeight w:val="531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Цена реализации, долларов США/тонну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1 864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1 873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-0,5%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1 949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-4,4%</w:t>
            </w:r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142"/>
              <w:rPr>
                <w:i/>
                <w:iCs/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Цена алюминия на LME с учетом котировального периода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1 708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-1,3%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1 849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-7,6%</w:t>
            </w:r>
          </w:p>
        </w:tc>
      </w:tr>
      <w:tr w:rsidR="00A87068" w:rsidTr="00A87068">
        <w:trPr>
          <w:trHeight w:val="248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142"/>
              <w:rPr>
                <w:i/>
                <w:iCs/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Реализованная премия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A87068" w:rsidTr="00A87068">
        <w:trPr>
          <w:trHeight w:val="248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284"/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Товарная премия (100% продаж)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55,4%</w:t>
            </w:r>
          </w:p>
        </w:tc>
      </w:tr>
      <w:tr w:rsidR="00A87068" w:rsidTr="00A87068">
        <w:trPr>
          <w:trHeight w:val="248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284"/>
              <w:rPr>
                <w:color w:val="000000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>Продуктовая премия (100% продаж)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56,3%</w:t>
            </w:r>
          </w:p>
        </w:tc>
      </w:tr>
      <w:tr w:rsidR="00A87068" w:rsidTr="00A87068">
        <w:trPr>
          <w:trHeight w:val="248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ind w:left="284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sz w:val="22"/>
                <w:szCs w:val="22"/>
              </w:rPr>
              <w:t xml:space="preserve">Продуктовая премия, не включая товарную премию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sz w:val="22"/>
                <w:szCs w:val="22"/>
              </w:rPr>
              <w:t>только ПДС</w:t>
            </w:r>
            <w:r>
              <w:rPr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-3,5%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-3,5%</w:t>
            </w:r>
          </w:p>
        </w:tc>
      </w:tr>
      <w:tr w:rsidR="00A87068" w:rsidTr="00A87068">
        <w:trPr>
          <w:trHeight w:val="531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Реализация ПДС (в тоннах)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-4,7%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62,9%</w:t>
            </w:r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Доля ПДС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46%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29%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17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Продажи по регионам</w:t>
            </w:r>
            <w:r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ind w:firstLine="246"/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Европа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53%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ind w:firstLine="246"/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Россия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 &amp; </w:t>
            </w:r>
            <w:r>
              <w:rPr>
                <w:i/>
                <w:iCs/>
                <w:sz w:val="22"/>
                <w:szCs w:val="22"/>
              </w:rPr>
              <w:t>СНГ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-2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ind w:firstLine="246"/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Азия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22%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-7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ind w:firstLine="246"/>
              <w:rPr>
                <w:color w:val="000000"/>
              </w:rPr>
            </w:pPr>
            <w:r>
              <w:rPr>
                <w:i/>
                <w:iCs/>
                <w:sz w:val="22"/>
                <w:szCs w:val="22"/>
              </w:rPr>
              <w:t>Америка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5%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Продажи глинозема третьим лицам</w:t>
            </w:r>
            <w:r>
              <w:rPr>
                <w:vertAlign w:val="superscript"/>
                <w:lang w:val="en-US"/>
              </w:rPr>
              <w:footnoteReference w:customMarkFollows="1" w:id="3"/>
              <w:t>[11]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-21,9%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1,3%</w:t>
            </w:r>
          </w:p>
        </w:tc>
      </w:tr>
      <w:tr w:rsidR="00A87068" w:rsidTr="00A87068">
        <w:trPr>
          <w:trHeight w:val="265"/>
        </w:trPr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Продажи бокситов третьим лицам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-100,0%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-100,0%</w:t>
            </w:r>
          </w:p>
        </w:tc>
      </w:tr>
    </w:tbl>
    <w:p w:rsidR="00A87068" w:rsidRDefault="00A87068" w:rsidP="00A87068">
      <w:pPr>
        <w:rPr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7"/>
        <w:gridCol w:w="1322"/>
        <w:gridCol w:w="1116"/>
        <w:gridCol w:w="1669"/>
        <w:gridCol w:w="1352"/>
        <w:gridCol w:w="1435"/>
      </w:tblGrid>
      <w:tr w:rsidR="00A87068" w:rsidTr="00A87068">
        <w:trPr>
          <w:trHeight w:val="833"/>
        </w:trPr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Данные по закупкам</w:t>
            </w:r>
          </w:p>
          <w:p w:rsidR="00A87068" w:rsidRDefault="00A87068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1-</w:t>
            </w:r>
            <w:r>
              <w:rPr>
                <w:b/>
                <w:bCs/>
                <w:sz w:val="22"/>
                <w:szCs w:val="22"/>
              </w:rPr>
              <w:t>й квартал 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b/>
                <w:bCs/>
                <w:sz w:val="22"/>
                <w:szCs w:val="22"/>
              </w:rPr>
              <w:t>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   1-й кв. к 4-му   кв., 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1-</w:t>
            </w:r>
            <w:r>
              <w:rPr>
                <w:b/>
                <w:bCs/>
                <w:sz w:val="22"/>
                <w:szCs w:val="22"/>
              </w:rPr>
              <w:t>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 1-й кв. к    1-му кв., %</w:t>
            </w:r>
          </w:p>
        </w:tc>
      </w:tr>
      <w:tr w:rsidR="00A87068" w:rsidTr="00A87068">
        <w:trPr>
          <w:trHeight w:val="275"/>
        </w:trPr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  <w:rPr>
                <w:b/>
                <w:bCs/>
              </w:rPr>
            </w:pP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</w:tr>
      <w:tr w:rsidR="00A87068" w:rsidTr="00A87068">
        <w:trPr>
          <w:trHeight w:val="275"/>
        </w:trPr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Глинозем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355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1%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391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-9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2%</w:t>
            </w:r>
          </w:p>
        </w:tc>
      </w:tr>
      <w:tr w:rsidR="00A87068" w:rsidTr="00A87068">
        <w:trPr>
          <w:trHeight w:val="555"/>
        </w:trPr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Бокситы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1 081</w:t>
            </w:r>
          </w:p>
        </w:tc>
        <w:tc>
          <w:tcPr>
            <w:tcW w:w="1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1 590</w:t>
            </w:r>
          </w:p>
        </w:tc>
        <w:tc>
          <w:tcPr>
            <w:tcW w:w="1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-32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0%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1 643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-34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2%</w:t>
            </w:r>
          </w:p>
        </w:tc>
      </w:tr>
    </w:tbl>
    <w:p w:rsidR="00A87068" w:rsidRDefault="00A87068" w:rsidP="00A87068">
      <w:pPr>
        <w:rPr>
          <w:sz w:val="22"/>
          <w:szCs w:val="22"/>
        </w:rPr>
      </w:pPr>
    </w:p>
    <w:p w:rsidR="00A87068" w:rsidRDefault="00A87068" w:rsidP="00A87068">
      <w:pPr>
        <w:rPr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Производство алюминия</w:t>
      </w:r>
    </w:p>
    <w:p w:rsidR="00A87068" w:rsidRDefault="00A87068" w:rsidP="00A87068">
      <w:pPr>
        <w:jc w:val="both"/>
        <w:rPr>
          <w:sz w:val="22"/>
          <w:szCs w:val="22"/>
        </w:rPr>
      </w:pPr>
    </w:p>
    <w:tbl>
      <w:tblPr>
        <w:tblW w:w="10020" w:type="dxa"/>
        <w:tblCellMar>
          <w:left w:w="0" w:type="dxa"/>
          <w:right w:w="0" w:type="dxa"/>
        </w:tblCellMar>
        <w:tblLook w:val="04A0"/>
      </w:tblPr>
      <w:tblGrid>
        <w:gridCol w:w="3152"/>
        <w:gridCol w:w="1160"/>
        <w:gridCol w:w="1121"/>
        <w:gridCol w:w="1683"/>
        <w:gridCol w:w="1401"/>
        <w:gridCol w:w="1503"/>
      </w:tblGrid>
      <w:tr w:rsidR="00A87068" w:rsidTr="00A87068">
        <w:trPr>
          <w:trHeight w:val="164"/>
          <w:tblHeader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1-й квартал 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4-й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  1-й кв. к 4-му   кв., 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1-й квартал 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 1-й кв. к     1-му кв., %</w:t>
            </w:r>
          </w:p>
        </w:tc>
      </w:tr>
      <w:tr w:rsidR="00A87068" w:rsidTr="00A87068">
        <w:trPr>
          <w:trHeight w:val="39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Россия (Сибирь)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Братский алюминиевый</w:t>
            </w:r>
          </w:p>
          <w:p w:rsidR="00A87068" w:rsidRDefault="00A87068">
            <w:r>
              <w:rPr>
                <w:sz w:val="22"/>
                <w:szCs w:val="22"/>
              </w:rPr>
              <w:t>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-0,9%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0,5%</w:t>
            </w: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Красноярский</w:t>
            </w:r>
          </w:p>
          <w:p w:rsidR="00A87068" w:rsidRDefault="00A87068">
            <w:r>
              <w:rPr>
                <w:sz w:val="22"/>
                <w:szCs w:val="22"/>
              </w:rPr>
              <w:t>алюминиевый 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-0,9%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2,9%</w:t>
            </w: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Саяногорский</w:t>
            </w:r>
          </w:p>
          <w:p w:rsidR="00A87068" w:rsidRDefault="00A87068">
            <w:r>
              <w:rPr>
                <w:sz w:val="22"/>
                <w:szCs w:val="22"/>
              </w:rPr>
              <w:t>алюминиевый 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-1,9%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1,8%</w:t>
            </w:r>
          </w:p>
        </w:tc>
      </w:tr>
      <w:tr w:rsidR="00A87068" w:rsidTr="00A87068">
        <w:trPr>
          <w:trHeight w:val="77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Новокузнецкий</w:t>
            </w:r>
          </w:p>
          <w:p w:rsidR="00A87068" w:rsidRDefault="00A87068">
            <w:r>
              <w:rPr>
                <w:sz w:val="22"/>
                <w:szCs w:val="22"/>
              </w:rPr>
              <w:t>алюминиевый 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-1,4%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0,6%</w:t>
            </w: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Иркутский алюминиевый</w:t>
            </w:r>
          </w:p>
          <w:p w:rsidR="00A87068" w:rsidRDefault="00A87068">
            <w:r>
              <w:rPr>
                <w:sz w:val="22"/>
                <w:szCs w:val="22"/>
              </w:rPr>
              <w:t>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-0,7%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0,7%</w:t>
            </w: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Хакасский алюминиевый</w:t>
            </w:r>
          </w:p>
          <w:p w:rsidR="00A87068" w:rsidRDefault="00A87068">
            <w:r>
              <w:rPr>
                <w:sz w:val="22"/>
                <w:szCs w:val="22"/>
              </w:rPr>
              <w:t>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-0,5%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2,2%</w:t>
            </w:r>
          </w:p>
        </w:tc>
      </w:tr>
      <w:tr w:rsidR="00A87068" w:rsidTr="00A87068">
        <w:trPr>
          <w:trHeight w:val="39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Россия (другие регионы)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122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Волгоградский алюминиевый</w:t>
            </w:r>
          </w:p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1,0%</w:t>
            </w: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Кандалакшский</w:t>
            </w:r>
          </w:p>
          <w:p w:rsidR="00A87068" w:rsidRDefault="00A87068">
            <w:r>
              <w:rPr>
                <w:sz w:val="22"/>
                <w:szCs w:val="22"/>
              </w:rPr>
              <w:t>алюминиевый завод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1.2%</w:t>
            </w:r>
          </w:p>
        </w:tc>
      </w:tr>
      <w:tr w:rsidR="00A87068" w:rsidTr="00A87068">
        <w:trPr>
          <w:trHeight w:val="39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b/>
                <w:bCs/>
                <w:sz w:val="22"/>
                <w:szCs w:val="22"/>
              </w:rPr>
              <w:t xml:space="preserve">Швеция 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80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Kubikenborg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Aluminium</w:t>
            </w:r>
          </w:p>
          <w:p w:rsidR="00A87068" w:rsidRDefault="00A87068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(K</w:t>
            </w:r>
            <w:r>
              <w:rPr>
                <w:sz w:val="22"/>
                <w:szCs w:val="22"/>
                <w:lang w:val="en-US"/>
              </w:rPr>
              <w:t>UBAL</w:t>
            </w:r>
            <w:r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A87068" w:rsidTr="00A87068">
        <w:trPr>
          <w:trHeight w:val="37"/>
        </w:trPr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lang w:val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lang w:val="en-GB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lang w:val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lang w:val="en-GB"/>
              </w:rPr>
            </w:pPr>
          </w:p>
        </w:tc>
      </w:tr>
      <w:tr w:rsidR="00A87068" w:rsidTr="00A87068">
        <w:trPr>
          <w:trHeight w:val="15"/>
        </w:trPr>
        <w:tc>
          <w:tcPr>
            <w:tcW w:w="315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rStyle w:val="af4"/>
                <w:b/>
                <w:bCs/>
                <w:sz w:val="22"/>
                <w:szCs w:val="22"/>
              </w:rPr>
              <w:footnoteReference w:customMarkFollows="1" w:id="4"/>
              <w:t>[12]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-0,9%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1,3%</w:t>
            </w:r>
          </w:p>
        </w:tc>
      </w:tr>
    </w:tbl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Производство глинозема</w:t>
      </w:r>
    </w:p>
    <w:p w:rsidR="00A87068" w:rsidRDefault="00A87068" w:rsidP="00A87068">
      <w:pPr>
        <w:jc w:val="both"/>
        <w:rPr>
          <w:sz w:val="22"/>
          <w:szCs w:val="22"/>
          <w:lang w:val="en-GB"/>
        </w:rPr>
      </w:pPr>
    </w:p>
    <w:tbl>
      <w:tblPr>
        <w:tblW w:w="10035" w:type="dxa"/>
        <w:tblCellMar>
          <w:left w:w="0" w:type="dxa"/>
          <w:right w:w="0" w:type="dxa"/>
        </w:tblCellMar>
        <w:tblLook w:val="04A0"/>
      </w:tblPr>
      <w:tblGrid>
        <w:gridCol w:w="3029"/>
        <w:gridCol w:w="1224"/>
        <w:gridCol w:w="1135"/>
        <w:gridCol w:w="1668"/>
        <w:gridCol w:w="1390"/>
        <w:gridCol w:w="1589"/>
      </w:tblGrid>
      <w:tr w:rsidR="00A87068" w:rsidTr="00A87068">
        <w:trPr>
          <w:trHeight w:val="1028"/>
          <w:tblHeader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  1-й кв. к 4-му кв., 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 1-й кв. к       1-му кв., %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Ирландия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Aughinish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Alumina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476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469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1,5%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479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-0,6%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Ямайка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b/>
                <w:bCs/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b/>
                <w:bCs/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b/>
                <w:bCs/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rPr>
                <w:b/>
                <w:bCs/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Windalco</w:t>
            </w:r>
            <w:proofErr w:type="spellEnd"/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9,9%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24,5%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US"/>
              </w:rPr>
            </w:pP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Украина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512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Николаевский</w:t>
            </w:r>
          </w:p>
          <w:p w:rsidR="00A87068" w:rsidRDefault="00A87068">
            <w:r>
              <w:rPr>
                <w:sz w:val="22"/>
                <w:szCs w:val="22"/>
              </w:rPr>
              <w:t>глиноземный завод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-6,1%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-1,7%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Россия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</w:tr>
      <w:tr w:rsidR="00A87068" w:rsidTr="00A87068">
        <w:trPr>
          <w:trHeight w:val="512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Богословский</w:t>
            </w:r>
          </w:p>
          <w:p w:rsidR="00A87068" w:rsidRDefault="00A87068">
            <w:r>
              <w:rPr>
                <w:sz w:val="22"/>
                <w:szCs w:val="22"/>
              </w:rPr>
              <w:t>алюминиевый завод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-5,2%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-5,2%</w:t>
            </w:r>
          </w:p>
        </w:tc>
      </w:tr>
      <w:tr w:rsidR="00A87068" w:rsidTr="00A87068">
        <w:trPr>
          <w:trHeight w:val="498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roofErr w:type="spellStart"/>
            <w:r>
              <w:rPr>
                <w:sz w:val="22"/>
                <w:szCs w:val="22"/>
              </w:rPr>
              <w:t>Ачинский</w:t>
            </w:r>
            <w:proofErr w:type="spellEnd"/>
            <w:r>
              <w:rPr>
                <w:sz w:val="22"/>
                <w:szCs w:val="22"/>
              </w:rPr>
              <w:t xml:space="preserve"> глиноземный</w:t>
            </w:r>
          </w:p>
          <w:p w:rsidR="00A87068" w:rsidRDefault="00A87068">
            <w:r>
              <w:rPr>
                <w:sz w:val="22"/>
                <w:szCs w:val="22"/>
              </w:rPr>
              <w:t>комбинат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19,9%</w:t>
            </w:r>
          </w:p>
        </w:tc>
      </w:tr>
      <w:tr w:rsidR="00A87068" w:rsidTr="00A87068">
        <w:trPr>
          <w:trHeight w:val="512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Уральский алюминиевый</w:t>
            </w:r>
          </w:p>
          <w:p w:rsidR="00A87068" w:rsidRDefault="00A87068">
            <w:r>
              <w:rPr>
                <w:sz w:val="22"/>
                <w:szCs w:val="22"/>
              </w:rPr>
              <w:t>завод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-1,6%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1,5%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Гвинея 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Friguia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Alumina Refinery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-11,0%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Австралия (СП)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</w:rPr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roofErr w:type="spellStart"/>
            <w:r>
              <w:rPr>
                <w:sz w:val="22"/>
                <w:szCs w:val="22"/>
              </w:rPr>
              <w:t>Queensland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Alumina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Ltd</w:t>
            </w:r>
            <w:proofErr w:type="spellEnd"/>
            <w:r>
              <w:rPr>
                <w:rStyle w:val="af4"/>
                <w:sz w:val="22"/>
                <w:szCs w:val="22"/>
              </w:rPr>
              <w:footnoteReference w:customMarkFollows="1" w:id="5"/>
              <w:t>[13]</w:t>
            </w: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-1,5%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87068" w:rsidTr="00A87068">
        <w:trPr>
          <w:trHeight w:val="254"/>
        </w:trPr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54"/>
        </w:trPr>
        <w:tc>
          <w:tcPr>
            <w:tcW w:w="30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2 013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2 050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-1,8%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1 932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4,2%</w:t>
            </w:r>
          </w:p>
        </w:tc>
      </w:tr>
    </w:tbl>
    <w:p w:rsidR="00A87068" w:rsidRDefault="00A87068" w:rsidP="00A87068">
      <w:pPr>
        <w:jc w:val="both"/>
        <w:rPr>
          <w:sz w:val="22"/>
          <w:szCs w:val="22"/>
          <w:lang w:val="en-GB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Добыча бокситов</w:t>
      </w:r>
    </w:p>
    <w:p w:rsidR="00A87068" w:rsidRDefault="00A87068" w:rsidP="00A87068">
      <w:pPr>
        <w:jc w:val="both"/>
        <w:rPr>
          <w:sz w:val="22"/>
          <w:szCs w:val="22"/>
        </w:rPr>
      </w:pPr>
    </w:p>
    <w:tbl>
      <w:tblPr>
        <w:tblW w:w="10050" w:type="dxa"/>
        <w:tblCellMar>
          <w:left w:w="0" w:type="dxa"/>
          <w:right w:w="0" w:type="dxa"/>
        </w:tblCellMar>
        <w:tblLook w:val="04A0"/>
      </w:tblPr>
      <w:tblGrid>
        <w:gridCol w:w="3218"/>
        <w:gridCol w:w="1077"/>
        <w:gridCol w:w="1117"/>
        <w:gridCol w:w="1676"/>
        <w:gridCol w:w="1395"/>
        <w:gridCol w:w="1567"/>
      </w:tblGrid>
      <w:tr w:rsidR="00A87068" w:rsidTr="00A87068">
        <w:trPr>
          <w:trHeight w:val="1037"/>
          <w:tblHeader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    1-й кв. к 4-му кв., 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  1-й кв. к      1-му кв., 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Ямайка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roofErr w:type="spellStart"/>
            <w:r>
              <w:rPr>
                <w:sz w:val="22"/>
                <w:szCs w:val="22"/>
                <w:lang w:val="en-GB"/>
              </w:rPr>
              <w:t>Windalco</w:t>
            </w:r>
            <w:proofErr w:type="spellEnd"/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11,2%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-2,7%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Россия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СУБР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594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-17,7%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-7,6%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 xml:space="preserve">«Боксит </w:t>
            </w:r>
            <w:proofErr w:type="spellStart"/>
            <w:r>
              <w:rPr>
                <w:sz w:val="22"/>
                <w:szCs w:val="22"/>
              </w:rPr>
              <w:t>Тимана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5,9%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43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Гвинея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Friguia</w:t>
            </w:r>
            <w:proofErr w:type="spellEnd"/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-14,7%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26,1%</w:t>
            </w:r>
          </w:p>
        </w:tc>
      </w:tr>
      <w:tr w:rsidR="00A87068" w:rsidTr="00A87068">
        <w:trPr>
          <w:trHeight w:val="525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 xml:space="preserve">Компания бокситов </w:t>
            </w:r>
            <w:proofErr w:type="spellStart"/>
            <w:r>
              <w:rPr>
                <w:sz w:val="22"/>
                <w:szCs w:val="22"/>
              </w:rPr>
              <w:t>Киндии</w:t>
            </w:r>
            <w:proofErr w:type="spellEnd"/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-13,5%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904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-22,2%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color w:val="000000"/>
                <w:sz w:val="22"/>
                <w:szCs w:val="22"/>
              </w:rPr>
              <w:t>Диан-Диан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749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8,9%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GB"/>
              </w:rPr>
            </w:pP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Гайана 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508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Bauxite Company of Guyana Inc.</w:t>
            </w:r>
          </w:p>
        </w:tc>
        <w:tc>
          <w:tcPr>
            <w:tcW w:w="10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-79,8%</w:t>
            </w:r>
          </w:p>
        </w:tc>
        <w:tc>
          <w:tcPr>
            <w:tcW w:w="1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-67,9%</w:t>
            </w:r>
          </w:p>
        </w:tc>
      </w:tr>
      <w:tr w:rsidR="00A87068" w:rsidTr="00A87068">
        <w:trPr>
          <w:trHeight w:val="260"/>
        </w:trPr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A87068" w:rsidTr="00A87068">
        <w:trPr>
          <w:trHeight w:val="260"/>
        </w:trPr>
        <w:tc>
          <w:tcPr>
            <w:tcW w:w="322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-11,2%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-6,6%</w:t>
            </w:r>
          </w:p>
        </w:tc>
      </w:tr>
    </w:tbl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Добыча нефелиновой руды</w:t>
      </w:r>
      <w:r>
        <w:rPr>
          <w:rStyle w:val="af4"/>
          <w:b/>
          <w:bCs/>
          <w:sz w:val="22"/>
          <w:szCs w:val="22"/>
        </w:rPr>
        <w:footnoteReference w:customMarkFollows="1" w:id="6"/>
        <w:t>[14]</w:t>
      </w:r>
      <w:r>
        <w:rPr>
          <w:b/>
          <w:bCs/>
          <w:sz w:val="22"/>
          <w:szCs w:val="22"/>
        </w:rPr>
        <w:t xml:space="preserve"> </w:t>
      </w:r>
    </w:p>
    <w:p w:rsidR="00A87068" w:rsidRDefault="00A87068" w:rsidP="00A87068">
      <w:pPr>
        <w:jc w:val="both"/>
        <w:rPr>
          <w:sz w:val="22"/>
          <w:szCs w:val="22"/>
        </w:rPr>
      </w:pP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228"/>
        <w:gridCol w:w="1048"/>
        <w:gridCol w:w="1109"/>
        <w:gridCol w:w="1666"/>
        <w:gridCol w:w="1386"/>
        <w:gridCol w:w="1628"/>
      </w:tblGrid>
      <w:tr w:rsidR="00A87068" w:rsidTr="00A87068">
        <w:trPr>
          <w:trHeight w:val="984"/>
          <w:tblHeader/>
        </w:trPr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    1-й кв. к 4-му кв., %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    1-й кв. к       1-му кв., %</w:t>
            </w:r>
          </w:p>
        </w:tc>
      </w:tr>
      <w:tr w:rsidR="00A87068" w:rsidTr="00A87068">
        <w:trPr>
          <w:trHeight w:val="248"/>
        </w:trPr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</w:tr>
      <w:tr w:rsidR="00A87068" w:rsidTr="00A87068">
        <w:trPr>
          <w:trHeight w:val="498"/>
        </w:trPr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roofErr w:type="spellStart"/>
            <w:r>
              <w:rPr>
                <w:sz w:val="22"/>
                <w:szCs w:val="22"/>
              </w:rPr>
              <w:t>Кия-Шалтырский</w:t>
            </w:r>
            <w:proofErr w:type="spellEnd"/>
          </w:p>
          <w:p w:rsidR="00A87068" w:rsidRDefault="00A87068">
            <w:r>
              <w:rPr>
                <w:sz w:val="22"/>
                <w:szCs w:val="22"/>
              </w:rPr>
              <w:t>нефелиновый рудник</w:t>
            </w:r>
          </w:p>
        </w:tc>
        <w:tc>
          <w:tcPr>
            <w:tcW w:w="1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</w:pPr>
            <w:r>
              <w:rPr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</w:pPr>
            <w:r>
              <w:rPr>
                <w:color w:val="000000"/>
                <w:sz w:val="22"/>
                <w:szCs w:val="22"/>
              </w:rPr>
              <w:t>1 074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</w:pPr>
            <w:r>
              <w:rPr>
                <w:color w:val="000000"/>
                <w:sz w:val="22"/>
                <w:szCs w:val="22"/>
              </w:rPr>
              <w:t>0,8%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</w:pPr>
            <w:r>
              <w:rPr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</w:pPr>
            <w:r>
              <w:rPr>
                <w:color w:val="000000"/>
                <w:sz w:val="22"/>
                <w:szCs w:val="22"/>
              </w:rPr>
              <w:t>7,3%</w:t>
            </w:r>
          </w:p>
        </w:tc>
      </w:tr>
      <w:tr w:rsidR="00A87068" w:rsidTr="00A87068">
        <w:trPr>
          <w:trHeight w:val="248"/>
        </w:trPr>
        <w:tc>
          <w:tcPr>
            <w:tcW w:w="322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1 074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0,8%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1 009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7,3%</w:t>
            </w:r>
          </w:p>
        </w:tc>
      </w:tr>
    </w:tbl>
    <w:p w:rsidR="00A87068" w:rsidRDefault="00A87068" w:rsidP="00A87068">
      <w:pPr>
        <w:jc w:val="both"/>
        <w:rPr>
          <w:color w:val="0070C0"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Производство фольги и упаковки</w:t>
      </w:r>
    </w:p>
    <w:p w:rsidR="00A87068" w:rsidRDefault="00A87068" w:rsidP="00A87068">
      <w:pPr>
        <w:jc w:val="both"/>
        <w:rPr>
          <w:sz w:val="22"/>
          <w:szCs w:val="22"/>
        </w:rPr>
      </w:pPr>
    </w:p>
    <w:tbl>
      <w:tblPr>
        <w:tblW w:w="10095" w:type="dxa"/>
        <w:tblCellMar>
          <w:left w:w="0" w:type="dxa"/>
          <w:right w:w="0" w:type="dxa"/>
        </w:tblCellMar>
        <w:tblLook w:val="04A0"/>
      </w:tblPr>
      <w:tblGrid>
        <w:gridCol w:w="3224"/>
        <w:gridCol w:w="1053"/>
        <w:gridCol w:w="1111"/>
        <w:gridCol w:w="1666"/>
        <w:gridCol w:w="1475"/>
        <w:gridCol w:w="1566"/>
      </w:tblGrid>
      <w:tr w:rsidR="00A87068" w:rsidTr="00A87068">
        <w:trPr>
          <w:trHeight w:val="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    1-й кв. к 4-му кв., %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Изменение,   1-й кв. к      1-му кв., %</w:t>
            </w: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both"/>
            </w:pP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Россия 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САЯНАЛ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-11,0%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-11,0%</w:t>
            </w: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«Уральская фольга»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-2,8%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14,8%</w:t>
            </w: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«Саянская фольга»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25,7%</w:t>
            </w: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Армения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254"/>
        </w:trPr>
        <w:tc>
          <w:tcPr>
            <w:tcW w:w="3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АРМЕНАЛ</w:t>
            </w: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21,8%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17,1%</w:t>
            </w:r>
          </w:p>
        </w:tc>
      </w:tr>
      <w:tr w:rsidR="00A87068" w:rsidTr="00A87068">
        <w:trPr>
          <w:trHeight w:val="254"/>
        </w:trPr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lang w:val="en-GB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lang w:val="en-US"/>
              </w:rPr>
            </w:pPr>
          </w:p>
        </w:tc>
      </w:tr>
      <w:tr w:rsidR="00A87068" w:rsidTr="00A87068">
        <w:trPr>
          <w:trHeight w:val="254"/>
        </w:trPr>
        <w:tc>
          <w:tcPr>
            <w:tcW w:w="322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5,5%</w:t>
            </w:r>
          </w:p>
        </w:tc>
      </w:tr>
    </w:tbl>
    <w:p w:rsidR="00A87068" w:rsidRDefault="00A87068" w:rsidP="00A87068">
      <w:pPr>
        <w:jc w:val="both"/>
        <w:rPr>
          <w:color w:val="0070C0"/>
          <w:sz w:val="22"/>
          <w:szCs w:val="22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Операционные результаты совместного предприятия</w:t>
      </w:r>
    </w:p>
    <w:p w:rsidR="00A87068" w:rsidRDefault="00A87068" w:rsidP="00A87068">
      <w:pPr>
        <w:jc w:val="both"/>
        <w:rPr>
          <w:b/>
          <w:bCs/>
          <w:sz w:val="22"/>
          <w:szCs w:val="22"/>
          <w:lang w:val="en-GB"/>
        </w:rPr>
      </w:pPr>
    </w:p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2887"/>
        <w:gridCol w:w="783"/>
        <w:gridCol w:w="1193"/>
        <w:gridCol w:w="1219"/>
        <w:gridCol w:w="1482"/>
        <w:gridCol w:w="1129"/>
        <w:gridCol w:w="1417"/>
      </w:tblGrid>
      <w:tr w:rsidR="00A87068" w:rsidTr="00A87068">
        <w:trPr>
          <w:trHeight w:val="1080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i/>
                <w:iCs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Доля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Изменение1-й кв. к    4-му кв., %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 1-й кв. к    1-му кв.,%</w:t>
            </w:r>
          </w:p>
        </w:tc>
      </w:tr>
      <w:tr w:rsidR="00A87068" w:rsidTr="00A87068">
        <w:trPr>
          <w:trHeight w:val="271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Богучанская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ГЭС</w:t>
            </w:r>
            <w:r>
              <w:rPr>
                <w:rStyle w:val="af4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af4"/>
                <w:b/>
                <w:bCs/>
                <w:sz w:val="22"/>
                <w:szCs w:val="22"/>
              </w:rPr>
              <w:footnoteReference w:customMarkFollows="1" w:id="7"/>
              <w:t>[15]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rPr>
                <w:b/>
                <w:bCs/>
              </w:rPr>
            </w:pPr>
          </w:p>
        </w:tc>
      </w:tr>
      <w:tr w:rsidR="00A87068" w:rsidTr="00A87068">
        <w:trPr>
          <w:trHeight w:val="547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Выработка</w:t>
            </w:r>
          </w:p>
          <w:p w:rsidR="00A87068" w:rsidRDefault="00A87068">
            <w:r>
              <w:rPr>
                <w:sz w:val="22"/>
                <w:szCs w:val="22"/>
              </w:rPr>
              <w:t>электроэнергии, МВт∙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4 636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4 318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7,4%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3 741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23,9%</w:t>
            </w:r>
          </w:p>
        </w:tc>
      </w:tr>
      <w:tr w:rsidR="00A87068" w:rsidTr="00A87068">
        <w:trPr>
          <w:trHeight w:val="271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547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Богучанский</w:t>
            </w:r>
            <w:proofErr w:type="spellEnd"/>
          </w:p>
          <w:p w:rsidR="00A87068" w:rsidRDefault="00A8706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алюминиевый завод</w:t>
            </w:r>
            <w:r>
              <w:rPr>
                <w:rStyle w:val="af4"/>
                <w:b/>
                <w:bCs/>
                <w:sz w:val="22"/>
                <w:szCs w:val="22"/>
              </w:rPr>
              <w:footnoteReference w:customMarkFollows="1" w:id="8"/>
              <w:t>[16]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>
            <w:pPr>
              <w:jc w:val="right"/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</w:pPr>
          </w:p>
        </w:tc>
      </w:tr>
      <w:tr w:rsidR="00A87068" w:rsidTr="00A87068">
        <w:trPr>
          <w:trHeight w:val="529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r>
              <w:rPr>
                <w:sz w:val="22"/>
                <w:szCs w:val="22"/>
              </w:rPr>
              <w:t>Производство алюминия,</w:t>
            </w:r>
          </w:p>
          <w:p w:rsidR="00A87068" w:rsidRDefault="00A87068"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72,8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-0,8%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56,8%</w:t>
            </w:r>
          </w:p>
        </w:tc>
      </w:tr>
      <w:tr w:rsidR="00A87068" w:rsidTr="00A87068">
        <w:trPr>
          <w:trHeight w:val="271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68" w:rsidRDefault="00A87068"/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</w:tr>
      <w:tr w:rsidR="00A87068" w:rsidTr="00A87068">
        <w:trPr>
          <w:trHeight w:val="547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«Богатырь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Комир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  <w:p w:rsidR="00A87068" w:rsidRDefault="00A870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 «Богатырь Транс»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color w:val="000000"/>
              </w:rPr>
            </w:pP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068" w:rsidRDefault="00A87068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A87068" w:rsidTr="00A87068">
        <w:trPr>
          <w:trHeight w:val="271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Добыча угля (тыс. тонн)</w:t>
            </w:r>
            <w:r>
              <w:rPr>
                <w:rStyle w:val="af4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f4"/>
                <w:color w:val="000000"/>
                <w:sz w:val="22"/>
                <w:szCs w:val="22"/>
              </w:rPr>
              <w:footnoteReference w:customMarkFollows="1" w:id="9"/>
              <w:t>[17]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6 185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6 338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-2,4%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6 207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-0,4%</w:t>
            </w:r>
          </w:p>
        </w:tc>
      </w:tr>
      <w:tr w:rsidR="00A87068" w:rsidTr="00A87068">
        <w:trPr>
          <w:trHeight w:val="547"/>
        </w:trPr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Объемы перевозок (тыс. тонн перевозок)</w:t>
            </w:r>
            <w:r w:rsidRPr="00A87068">
              <w:rPr>
                <w:rStyle w:val="af4"/>
                <w:color w:val="000000"/>
                <w:sz w:val="22"/>
                <w:szCs w:val="22"/>
              </w:rPr>
              <w:footnoteReference w:customMarkFollows="1" w:id="10"/>
              <w:t>[18]</w:t>
            </w: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869</w:t>
            </w:r>
          </w:p>
        </w:tc>
        <w:tc>
          <w:tcPr>
            <w:tcW w:w="1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11,0%</w:t>
            </w:r>
          </w:p>
        </w:tc>
        <w:tc>
          <w:tcPr>
            <w:tcW w:w="1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1 235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-29,7</w:t>
            </w:r>
          </w:p>
        </w:tc>
      </w:tr>
    </w:tbl>
    <w:p w:rsidR="00A87068" w:rsidRDefault="00A87068" w:rsidP="00A87068">
      <w:pPr>
        <w:pStyle w:val="ad"/>
        <w:snapToGri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</w:pPr>
    </w:p>
    <w:p w:rsidR="00A87068" w:rsidRDefault="00A87068" w:rsidP="00A87068">
      <w:pPr>
        <w:pStyle w:val="ad"/>
        <w:snapToGri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</w:pPr>
    </w:p>
    <w:p w:rsidR="00A87068" w:rsidRDefault="00A87068" w:rsidP="00A87068">
      <w:pPr>
        <w:pStyle w:val="ad"/>
        <w:snapToGri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</w:pPr>
    </w:p>
    <w:p w:rsidR="00A87068" w:rsidRDefault="00A87068" w:rsidP="00A87068">
      <w:pPr>
        <w:pStyle w:val="ad"/>
        <w:snapToGri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  <w:t>Производство прочей алюминиевой продукции и кремния</w:t>
      </w:r>
    </w:p>
    <w:p w:rsidR="00A87068" w:rsidRDefault="00A87068" w:rsidP="00A87068">
      <w:pPr>
        <w:pStyle w:val="ad"/>
        <w:snapToGri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ru-RU"/>
        </w:rPr>
      </w:pP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227"/>
        <w:gridCol w:w="1305"/>
        <w:gridCol w:w="1241"/>
        <w:gridCol w:w="1534"/>
        <w:gridCol w:w="1305"/>
        <w:gridCol w:w="1468"/>
      </w:tblGrid>
      <w:tr w:rsidR="00A87068" w:rsidTr="00A87068">
        <w:trPr>
          <w:trHeight w:val="1128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тыс. тонн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 1-й кв. к      4-му кв., %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1-й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квартал</w:t>
            </w:r>
          </w:p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068" w:rsidRDefault="00A87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Изменение 1-й кв. к     1-му кв., %</w:t>
            </w:r>
          </w:p>
        </w:tc>
      </w:tr>
      <w:tr w:rsidR="00A87068" w:rsidTr="00A87068">
        <w:trPr>
          <w:trHeight w:val="284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Вторичные сплавы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-43,1%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14,4%</w:t>
            </w:r>
          </w:p>
        </w:tc>
      </w:tr>
      <w:tr w:rsidR="00A87068" w:rsidTr="00A87068">
        <w:trPr>
          <w:trHeight w:val="284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Кремний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-22,2%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-36,5%</w:t>
            </w:r>
          </w:p>
        </w:tc>
      </w:tr>
      <w:tr w:rsidR="00A87068" w:rsidTr="00A87068">
        <w:trPr>
          <w:trHeight w:val="284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Порошки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15,8%</w:t>
            </w:r>
          </w:p>
        </w:tc>
      </w:tr>
      <w:tr w:rsidR="00A87068" w:rsidTr="00A87068">
        <w:trPr>
          <w:trHeight w:val="284"/>
        </w:trPr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Колесные диски (тыс. шт.)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-17,3%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804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068" w:rsidRDefault="00A87068">
            <w:pPr>
              <w:jc w:val="right"/>
            </w:pPr>
            <w:r>
              <w:rPr>
                <w:sz w:val="22"/>
                <w:szCs w:val="22"/>
              </w:rPr>
              <w:t>26,6%</w:t>
            </w:r>
          </w:p>
        </w:tc>
      </w:tr>
    </w:tbl>
    <w:p w:rsidR="00A87068" w:rsidRDefault="00A87068" w:rsidP="00A87068">
      <w:pPr>
        <w:jc w:val="both"/>
        <w:rPr>
          <w:b/>
          <w:bCs/>
          <w:sz w:val="22"/>
          <w:szCs w:val="22"/>
          <w:u w:val="single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  <w:u w:val="single"/>
        </w:rPr>
      </w:pPr>
    </w:p>
    <w:p w:rsidR="00A87068" w:rsidRDefault="00A87068" w:rsidP="00A87068">
      <w:pPr>
        <w:pStyle w:val="a5"/>
      </w:pPr>
      <w:r w:rsidRPr="00A87068">
        <w:rPr>
          <w:rStyle w:val="af4"/>
        </w:rPr>
        <w:t>[1]</w:t>
      </w:r>
      <w:r w:rsidRPr="00A87068">
        <w:t xml:space="preserve"> </w:t>
      </w:r>
      <w:r>
        <w:rPr>
          <w:i/>
          <w:iCs/>
          <w:sz w:val="18"/>
          <w:szCs w:val="18"/>
        </w:rPr>
        <w:t>Объем производства алюминия представлен в объеме выпуска товарной продукции (цифра включает данные по всем мощностям, кроме мощностей по переплавке металла третьих сторон на Волгоградском алюминиевом заводе).</w:t>
      </w:r>
    </w:p>
    <w:p w:rsidR="00A87068" w:rsidRDefault="00A87068" w:rsidP="00A87068">
      <w:pPr>
        <w:pStyle w:val="a5"/>
        <w:rPr>
          <w:i/>
          <w:iCs/>
          <w:sz w:val="18"/>
          <w:szCs w:val="18"/>
        </w:rPr>
      </w:pPr>
      <w:r>
        <w:rPr>
          <w:rStyle w:val="af4"/>
        </w:rPr>
        <w:t>2</w:t>
      </w:r>
      <w:r>
        <w:t xml:space="preserve"> </w:t>
      </w:r>
      <w:r>
        <w:rPr>
          <w:i/>
          <w:iCs/>
          <w:sz w:val="18"/>
          <w:szCs w:val="18"/>
        </w:rPr>
        <w:t>Поставки на внутреннем рынке обычно подразумевают более короткое время выполнения заказа и поэтому уменьшают время необходимое для признания выручки.</w:t>
      </w:r>
    </w:p>
    <w:p w:rsidR="00A87068" w:rsidRDefault="00A87068" w:rsidP="00A87068">
      <w:pPr>
        <w:pStyle w:val="a5"/>
      </w:pPr>
      <w:r>
        <w:rPr>
          <w:rStyle w:val="af4"/>
        </w:rPr>
        <w:t>3</w:t>
      </w:r>
      <w:r>
        <w:t xml:space="preserve"> </w:t>
      </w:r>
      <w:r>
        <w:rPr>
          <w:i/>
          <w:iCs/>
          <w:sz w:val="18"/>
          <w:szCs w:val="18"/>
        </w:rPr>
        <w:t>К ПДС относятся алюминиевые сплавы, плоские слитки, цилиндрические слитки, катанка, колесные диски, а также алюминий высокой и особой чистоты.</w:t>
      </w:r>
    </w:p>
    <w:p w:rsidR="00A87068" w:rsidRDefault="00A87068" w:rsidP="00A87068">
      <w:pPr>
        <w:pStyle w:val="a5"/>
      </w:pPr>
      <w:r>
        <w:rPr>
          <w:rStyle w:val="af4"/>
        </w:rPr>
        <w:t>4</w:t>
      </w:r>
      <w:r>
        <w:t xml:space="preserve"> </w:t>
      </w:r>
      <w:r>
        <w:rPr>
          <w:i/>
          <w:iCs/>
          <w:sz w:val="18"/>
          <w:szCs w:val="18"/>
        </w:rPr>
        <w:t>«</w:t>
      </w:r>
      <w:proofErr w:type="spellStart"/>
      <w:proofErr w:type="gramStart"/>
      <w:r>
        <w:rPr>
          <w:i/>
          <w:iCs/>
          <w:sz w:val="18"/>
          <w:szCs w:val="18"/>
        </w:rPr>
        <w:t>C</w:t>
      </w:r>
      <w:proofErr w:type="gramEnd"/>
      <w:r>
        <w:rPr>
          <w:i/>
          <w:iCs/>
          <w:sz w:val="18"/>
          <w:szCs w:val="18"/>
        </w:rPr>
        <w:t>анкции</w:t>
      </w:r>
      <w:proofErr w:type="spellEnd"/>
      <w:r>
        <w:rPr>
          <w:i/>
          <w:iCs/>
          <w:sz w:val="18"/>
          <w:szCs w:val="18"/>
        </w:rPr>
        <w:t xml:space="preserve">» </w:t>
      </w:r>
      <w:r>
        <w:rPr>
          <w:i/>
          <w:iCs/>
        </w:rPr>
        <w:t>–</w:t>
      </w:r>
      <w:r>
        <w:rPr>
          <w:i/>
          <w:iCs/>
          <w:sz w:val="18"/>
          <w:szCs w:val="18"/>
        </w:rPr>
        <w:t xml:space="preserve"> 6 апреля 2018 года OFAC внесло компанию в </w:t>
      </w:r>
      <w:proofErr w:type="spellStart"/>
      <w:r>
        <w:rPr>
          <w:i/>
          <w:iCs/>
          <w:sz w:val="18"/>
          <w:szCs w:val="18"/>
        </w:rPr>
        <w:t>санкционный</w:t>
      </w:r>
      <w:proofErr w:type="spellEnd"/>
      <w:r>
        <w:rPr>
          <w:i/>
          <w:iCs/>
          <w:sz w:val="18"/>
          <w:szCs w:val="18"/>
        </w:rPr>
        <w:t xml:space="preserve"> список SDN.</w:t>
      </w:r>
    </w:p>
    <w:p w:rsidR="00A87068" w:rsidRDefault="00A87068" w:rsidP="00A87068">
      <w:pPr>
        <w:pStyle w:val="a5"/>
      </w:pPr>
      <w:r>
        <w:rPr>
          <w:rStyle w:val="af4"/>
        </w:rPr>
        <w:t>5</w:t>
      </w:r>
      <w:r>
        <w:t xml:space="preserve"> </w:t>
      </w:r>
      <w:r>
        <w:rPr>
          <w:i/>
          <w:iCs/>
        </w:rPr>
        <w:t>«</w:t>
      </w:r>
      <w:r>
        <w:rPr>
          <w:i/>
          <w:iCs/>
          <w:lang w:val="en-US"/>
        </w:rPr>
        <w:t>OFAC</w:t>
      </w:r>
      <w:r>
        <w:rPr>
          <w:i/>
          <w:iCs/>
        </w:rPr>
        <w:t xml:space="preserve">» – </w:t>
      </w:r>
      <w:r>
        <w:rPr>
          <w:i/>
          <w:iCs/>
          <w:sz w:val="18"/>
          <w:szCs w:val="18"/>
        </w:rPr>
        <w:t xml:space="preserve">Управление по </w:t>
      </w:r>
      <w:proofErr w:type="gramStart"/>
      <w:r>
        <w:rPr>
          <w:i/>
          <w:iCs/>
          <w:sz w:val="18"/>
          <w:szCs w:val="18"/>
        </w:rPr>
        <w:t>контролю за</w:t>
      </w:r>
      <w:proofErr w:type="gramEnd"/>
      <w:r>
        <w:rPr>
          <w:i/>
          <w:iCs/>
          <w:sz w:val="18"/>
          <w:szCs w:val="18"/>
        </w:rPr>
        <w:t xml:space="preserve"> иностранными активами Министерства финансов США.</w:t>
      </w:r>
    </w:p>
    <w:p w:rsidR="00A87068" w:rsidRDefault="00A87068" w:rsidP="00A87068">
      <w:pPr>
        <w:pStyle w:val="a5"/>
      </w:pPr>
      <w:r>
        <w:rPr>
          <w:rStyle w:val="af4"/>
        </w:rPr>
        <w:t>6</w:t>
      </w:r>
      <w:r>
        <w:t xml:space="preserve"> </w:t>
      </w:r>
      <w:r>
        <w:rPr>
          <w:i/>
          <w:iCs/>
          <w:sz w:val="18"/>
          <w:szCs w:val="18"/>
        </w:rPr>
        <w:t>Цена реализации включает три компонента: цену на LME, товарную премию и продуктовую премию.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7</w:t>
      </w:r>
      <w:r>
        <w:t xml:space="preserve"> </w:t>
      </w:r>
      <w:r>
        <w:rPr>
          <w:i/>
          <w:iCs/>
          <w:sz w:val="18"/>
          <w:szCs w:val="18"/>
        </w:rPr>
        <w:t>Цены котировального периода отличаются от котировок LME в режиме реального времени в связи с временным лагом между котировками LME и продажами, а также в связи со спецификой формулы цены в контракте.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8</w:t>
      </w:r>
      <w:r>
        <w:t xml:space="preserve"> </w:t>
      </w:r>
      <w:r>
        <w:rPr>
          <w:i/>
          <w:iCs/>
          <w:sz w:val="18"/>
          <w:szCs w:val="18"/>
        </w:rPr>
        <w:t xml:space="preserve">Если не указано иное, источниками данных в разделе «Обзор рынка» являются </w:t>
      </w:r>
      <w:proofErr w:type="spellStart"/>
      <w:r>
        <w:rPr>
          <w:i/>
          <w:iCs/>
          <w:sz w:val="18"/>
          <w:szCs w:val="18"/>
        </w:rPr>
        <w:t>Bloomberg</w:t>
      </w:r>
      <w:proofErr w:type="spellEnd"/>
      <w:r>
        <w:rPr>
          <w:i/>
          <w:iCs/>
          <w:sz w:val="18"/>
          <w:szCs w:val="18"/>
        </w:rPr>
        <w:t xml:space="preserve">, CRU, CNIA, IAI, </w:t>
      </w:r>
      <w:proofErr w:type="spellStart"/>
      <w:r>
        <w:rPr>
          <w:i/>
          <w:iCs/>
          <w:sz w:val="18"/>
          <w:szCs w:val="18"/>
        </w:rPr>
        <w:t>Antaike</w:t>
      </w:r>
      <w:proofErr w:type="spellEnd"/>
      <w:r>
        <w:rPr>
          <w:i/>
          <w:iCs/>
          <w:sz w:val="18"/>
          <w:szCs w:val="18"/>
        </w:rPr>
        <w:t>.</w:t>
      </w:r>
    </w:p>
    <w:p w:rsidR="00A87068" w:rsidRDefault="00A87068" w:rsidP="00A87068">
      <w:pPr>
        <w:pStyle w:val="a5"/>
        <w:rPr>
          <w:i/>
          <w:iCs/>
          <w:sz w:val="18"/>
          <w:szCs w:val="18"/>
        </w:rPr>
      </w:pPr>
      <w:r>
        <w:rPr>
          <w:rStyle w:val="af4"/>
        </w:rPr>
        <w:t>9</w:t>
      </w:r>
      <w:r>
        <w:t xml:space="preserve"> </w:t>
      </w:r>
      <w:r>
        <w:rPr>
          <w:i/>
          <w:iCs/>
          <w:sz w:val="18"/>
          <w:szCs w:val="18"/>
        </w:rPr>
        <w:t xml:space="preserve">Данные, представленные в отчете, основаны на объеме производства, относящемся к доле компании (кроме </w:t>
      </w:r>
      <w:proofErr w:type="spellStart"/>
      <w:r>
        <w:rPr>
          <w:i/>
          <w:iCs/>
          <w:sz w:val="18"/>
          <w:szCs w:val="18"/>
        </w:rPr>
        <w:t>Богучанского</w:t>
      </w:r>
      <w:proofErr w:type="spellEnd"/>
      <w:r>
        <w:rPr>
          <w:i/>
          <w:iCs/>
          <w:sz w:val="18"/>
          <w:szCs w:val="18"/>
        </w:rPr>
        <w:t xml:space="preserve"> алюминиевого завода и </w:t>
      </w:r>
      <w:proofErr w:type="spellStart"/>
      <w:r>
        <w:rPr>
          <w:i/>
          <w:iCs/>
          <w:sz w:val="18"/>
          <w:szCs w:val="18"/>
        </w:rPr>
        <w:t>Богучанской</w:t>
      </w:r>
      <w:proofErr w:type="spellEnd"/>
      <w:r>
        <w:rPr>
          <w:i/>
          <w:iCs/>
          <w:sz w:val="18"/>
          <w:szCs w:val="18"/>
        </w:rPr>
        <w:t xml:space="preserve"> ГЭС). Объемы производства рассчитаны соответственно доле собственности компании (и ее дочерних обществ) в соответствующих глиноземных заводах.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10</w:t>
      </w:r>
      <w:r>
        <w:t xml:space="preserve"> </w:t>
      </w:r>
      <w:proofErr w:type="spellStart"/>
      <w:r>
        <w:rPr>
          <w:i/>
          <w:iCs/>
          <w:sz w:val="18"/>
          <w:szCs w:val="18"/>
        </w:rPr>
        <w:t>БоАЗ</w:t>
      </w:r>
      <w:proofErr w:type="spellEnd"/>
      <w:r>
        <w:rPr>
          <w:i/>
          <w:iCs/>
          <w:sz w:val="18"/>
          <w:szCs w:val="18"/>
        </w:rPr>
        <w:t xml:space="preserve"> – </w:t>
      </w:r>
      <w:proofErr w:type="spellStart"/>
      <w:r>
        <w:rPr>
          <w:i/>
          <w:iCs/>
          <w:sz w:val="18"/>
          <w:szCs w:val="18"/>
        </w:rPr>
        <w:t>Богучанский</w:t>
      </w:r>
      <w:proofErr w:type="spellEnd"/>
      <w:r>
        <w:rPr>
          <w:i/>
          <w:iCs/>
          <w:sz w:val="18"/>
          <w:szCs w:val="18"/>
        </w:rPr>
        <w:t xml:space="preserve"> алюминиевый завод</w:t>
      </w:r>
    </w:p>
    <w:p w:rsidR="00A87068" w:rsidRDefault="00A87068" w:rsidP="00A87068">
      <w:pPr>
        <w:pStyle w:val="a5"/>
      </w:pPr>
      <w:r>
        <w:rPr>
          <w:rStyle w:val="af4"/>
        </w:rPr>
        <w:t>11</w:t>
      </w:r>
      <w:r>
        <w:t xml:space="preserve"> </w:t>
      </w:r>
      <w:r>
        <w:rPr>
          <w:i/>
          <w:iCs/>
          <w:sz w:val="18"/>
          <w:szCs w:val="18"/>
        </w:rPr>
        <w:t xml:space="preserve">Продажи глинозема третьим лицам, за исключением </w:t>
      </w:r>
      <w:proofErr w:type="gramStart"/>
      <w:r>
        <w:rPr>
          <w:i/>
          <w:iCs/>
          <w:sz w:val="18"/>
          <w:szCs w:val="18"/>
        </w:rPr>
        <w:t>обменных</w:t>
      </w:r>
      <w:proofErr w:type="gramEnd"/>
      <w:r>
        <w:rPr>
          <w:i/>
          <w:iCs/>
          <w:sz w:val="18"/>
          <w:szCs w:val="18"/>
        </w:rPr>
        <w:t xml:space="preserve"> своп-сделок.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12</w:t>
      </w:r>
      <w:r>
        <w:t xml:space="preserve"> </w:t>
      </w:r>
      <w:r>
        <w:rPr>
          <w:i/>
          <w:iCs/>
          <w:sz w:val="18"/>
          <w:szCs w:val="18"/>
        </w:rPr>
        <w:t>Здесь и далее значение «итого» может не совпадать с результатом арифметического сложения данных в таблице в связи с округлением.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13</w:t>
      </w:r>
      <w:r>
        <w:t xml:space="preserve"> </w:t>
      </w:r>
      <w:r>
        <w:rPr>
          <w:i/>
          <w:iCs/>
          <w:sz w:val="18"/>
          <w:szCs w:val="18"/>
        </w:rPr>
        <w:t xml:space="preserve">Объем производства глинозема на </w:t>
      </w:r>
      <w:r>
        <w:rPr>
          <w:i/>
          <w:iCs/>
          <w:sz w:val="18"/>
          <w:szCs w:val="18"/>
          <w:lang w:val="en-US"/>
        </w:rPr>
        <w:t>Queensland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n-US"/>
        </w:rPr>
        <w:t>Alumina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n-US"/>
        </w:rPr>
        <w:t>Ltd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рассчитан соответственно 20%-й доле собственности компании.</w:t>
      </w:r>
    </w:p>
    <w:p w:rsidR="00A87068" w:rsidRDefault="00A87068" w:rsidP="00A87068">
      <w:pPr>
        <w:pStyle w:val="a5"/>
        <w:rPr>
          <w:i/>
          <w:iCs/>
          <w:sz w:val="18"/>
          <w:szCs w:val="18"/>
        </w:rPr>
      </w:pPr>
      <w:r>
        <w:rPr>
          <w:rStyle w:val="af4"/>
        </w:rPr>
        <w:t>14</w:t>
      </w:r>
      <w:r>
        <w:t xml:space="preserve"> </w:t>
      </w:r>
      <w:r>
        <w:rPr>
          <w:i/>
          <w:iCs/>
          <w:sz w:val="18"/>
          <w:szCs w:val="18"/>
        </w:rPr>
        <w:t xml:space="preserve">Нефелиновая руда используется в качестве сырья для производства глинозема </w:t>
      </w:r>
      <w:proofErr w:type="gramStart"/>
      <w:r>
        <w:rPr>
          <w:i/>
          <w:iCs/>
          <w:sz w:val="18"/>
          <w:szCs w:val="18"/>
        </w:rPr>
        <w:t>на</w:t>
      </w:r>
      <w:proofErr w:type="gramEnd"/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Ачинском</w:t>
      </w:r>
      <w:proofErr w:type="gramEnd"/>
      <w:r>
        <w:rPr>
          <w:i/>
          <w:iCs/>
          <w:sz w:val="18"/>
          <w:szCs w:val="18"/>
        </w:rPr>
        <w:t xml:space="preserve"> глиноземном комбинате.</w:t>
      </w:r>
    </w:p>
    <w:p w:rsidR="00A87068" w:rsidRDefault="00A87068" w:rsidP="00A87068">
      <w:pPr>
        <w:pStyle w:val="a5"/>
        <w:rPr>
          <w:i/>
          <w:iCs/>
          <w:sz w:val="18"/>
          <w:szCs w:val="18"/>
        </w:rPr>
      </w:pPr>
      <w:r>
        <w:rPr>
          <w:rStyle w:val="af4"/>
        </w:rPr>
        <w:t>15</w:t>
      </w:r>
      <w:r>
        <w:t xml:space="preserve"> </w:t>
      </w:r>
      <w:r>
        <w:rPr>
          <w:i/>
          <w:iCs/>
          <w:sz w:val="18"/>
          <w:szCs w:val="18"/>
        </w:rPr>
        <w:t xml:space="preserve">Данные по </w:t>
      </w:r>
      <w:proofErr w:type="spellStart"/>
      <w:r>
        <w:rPr>
          <w:i/>
          <w:iCs/>
          <w:sz w:val="18"/>
          <w:szCs w:val="18"/>
        </w:rPr>
        <w:t>Богучанской</w:t>
      </w:r>
      <w:proofErr w:type="spellEnd"/>
      <w:r>
        <w:rPr>
          <w:i/>
          <w:iCs/>
          <w:sz w:val="18"/>
          <w:szCs w:val="18"/>
        </w:rPr>
        <w:t xml:space="preserve"> ГЭС представлены на основе 100% объема выработанной электроэнергии (без расчета соответственно доле собственности компании).</w:t>
      </w:r>
    </w:p>
    <w:p w:rsidR="00A87068" w:rsidRDefault="00A87068" w:rsidP="00A87068">
      <w:pPr>
        <w:pStyle w:val="a5"/>
        <w:rPr>
          <w:i/>
          <w:iCs/>
          <w:sz w:val="18"/>
          <w:szCs w:val="18"/>
        </w:rPr>
      </w:pPr>
      <w:r>
        <w:rPr>
          <w:rStyle w:val="af4"/>
        </w:rPr>
        <w:t xml:space="preserve">16 </w:t>
      </w:r>
      <w:r>
        <w:rPr>
          <w:i/>
          <w:iCs/>
          <w:sz w:val="18"/>
          <w:szCs w:val="18"/>
        </w:rPr>
        <w:t xml:space="preserve">Данные по </w:t>
      </w:r>
      <w:proofErr w:type="spellStart"/>
      <w:r>
        <w:rPr>
          <w:i/>
          <w:iCs/>
          <w:sz w:val="18"/>
          <w:szCs w:val="18"/>
        </w:rPr>
        <w:t>Богучанскому</w:t>
      </w:r>
      <w:proofErr w:type="spellEnd"/>
      <w:r>
        <w:rPr>
          <w:i/>
          <w:iCs/>
          <w:sz w:val="18"/>
          <w:szCs w:val="18"/>
        </w:rPr>
        <w:t xml:space="preserve"> алюминиевому заводу представлены на основе 100% объема производства (без расчета соответственно доле собственности компании).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17</w:t>
      </w:r>
      <w:r>
        <w:t xml:space="preserve"> </w:t>
      </w:r>
      <w:r>
        <w:rPr>
          <w:i/>
          <w:iCs/>
          <w:sz w:val="18"/>
          <w:szCs w:val="18"/>
        </w:rPr>
        <w:t xml:space="preserve">Объем добычи угля </w:t>
      </w:r>
      <w:proofErr w:type="gramStart"/>
      <w:r>
        <w:rPr>
          <w:i/>
          <w:iCs/>
          <w:sz w:val="18"/>
          <w:szCs w:val="18"/>
        </w:rPr>
        <w:t>на</w:t>
      </w:r>
      <w:proofErr w:type="gramEnd"/>
      <w:r>
        <w:rPr>
          <w:i/>
          <w:iCs/>
          <w:sz w:val="18"/>
          <w:szCs w:val="18"/>
        </w:rPr>
        <w:t xml:space="preserve"> «</w:t>
      </w:r>
      <w:proofErr w:type="gramStart"/>
      <w:r>
        <w:rPr>
          <w:i/>
          <w:iCs/>
          <w:sz w:val="18"/>
          <w:szCs w:val="18"/>
        </w:rPr>
        <w:t>Богатырь</w:t>
      </w:r>
      <w:proofErr w:type="gram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Комир</w:t>
      </w:r>
      <w:proofErr w:type="spellEnd"/>
      <w:r>
        <w:rPr>
          <w:i/>
          <w:iCs/>
          <w:sz w:val="18"/>
          <w:szCs w:val="18"/>
        </w:rPr>
        <w:t>» рассчитан соответственно 50% доле собственности компании.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  <w:r>
        <w:rPr>
          <w:rStyle w:val="af4"/>
        </w:rPr>
        <w:t>18</w:t>
      </w:r>
      <w:r>
        <w:t xml:space="preserve"> </w:t>
      </w:r>
      <w:r>
        <w:rPr>
          <w:i/>
          <w:iCs/>
          <w:sz w:val="18"/>
          <w:szCs w:val="18"/>
        </w:rPr>
        <w:t xml:space="preserve">Объем перевозок </w:t>
      </w:r>
      <w:proofErr w:type="gramStart"/>
      <w:r>
        <w:rPr>
          <w:i/>
          <w:iCs/>
          <w:sz w:val="18"/>
          <w:szCs w:val="18"/>
        </w:rPr>
        <w:t>для</w:t>
      </w:r>
      <w:proofErr w:type="gramEnd"/>
      <w:r>
        <w:rPr>
          <w:i/>
          <w:iCs/>
          <w:sz w:val="18"/>
          <w:szCs w:val="18"/>
        </w:rPr>
        <w:t xml:space="preserve"> «</w:t>
      </w:r>
      <w:proofErr w:type="gramStart"/>
      <w:r>
        <w:rPr>
          <w:i/>
          <w:iCs/>
          <w:sz w:val="18"/>
          <w:szCs w:val="18"/>
        </w:rPr>
        <w:t>Богатырь</w:t>
      </w:r>
      <w:proofErr w:type="gramEnd"/>
      <w:r>
        <w:rPr>
          <w:i/>
          <w:iCs/>
          <w:sz w:val="18"/>
          <w:szCs w:val="18"/>
        </w:rPr>
        <w:t xml:space="preserve"> Транс» рассчитан соответственно 50% доле собственности компании.</w:t>
      </w:r>
    </w:p>
    <w:p w:rsidR="00A87068" w:rsidRDefault="00A87068" w:rsidP="00A87068">
      <w:pPr>
        <w:jc w:val="both"/>
        <w:rPr>
          <w:i/>
          <w:iCs/>
          <w:sz w:val="18"/>
          <w:szCs w:val="18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  <w:u w:val="single"/>
        </w:rPr>
      </w:pPr>
    </w:p>
    <w:p w:rsidR="00A87068" w:rsidRDefault="00A87068" w:rsidP="00A8706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Прогнозные заявления</w:t>
      </w:r>
    </w:p>
    <w:p w:rsidR="00A87068" w:rsidRDefault="00A87068" w:rsidP="00A87068">
      <w:pPr>
        <w:jc w:val="both"/>
        <w:rPr>
          <w:rStyle w:val="null1"/>
        </w:rPr>
      </w:pPr>
      <w:r>
        <w:rPr>
          <w:rStyle w:val="null1"/>
          <w:sz w:val="22"/>
          <w:szCs w:val="22"/>
        </w:rPr>
        <w:t xml:space="preserve">Данный пресс-релиз содержит заявления касательно будущих событий, предполагаемых показателей, прогнозов и ожиданий, которые представляют собой прогнозные заявления. </w:t>
      </w:r>
      <w:proofErr w:type="gramStart"/>
      <w:r>
        <w:rPr>
          <w:rStyle w:val="null1"/>
          <w:sz w:val="22"/>
          <w:szCs w:val="22"/>
        </w:rPr>
        <w:t>Любое содержащееся в настоящем пресс-релизе заявление, не являющееся констатацией исторического факта, представляет собой прогнозное заявление, сопряженное с известными и неизвестными рисками, неопределенностями и прочими факторами, в силу которых наши фактические результаты, показатели хозяйственной деятельности или достижения могут существенным образом отличаться от каких-либо результатов, показателей хозяйственной деятельности или достижений, выраженных в данных прогнозных заявлениях или подразумеваемых ими.</w:t>
      </w:r>
      <w:proofErr w:type="gramEnd"/>
      <w:r>
        <w:rPr>
          <w:rStyle w:val="null1"/>
          <w:sz w:val="22"/>
          <w:szCs w:val="22"/>
        </w:rPr>
        <w:t xml:space="preserve"> В число таких рисков и неопределенностей входят риски и неопределенности, описанные или указанные в Проспекте эмиссии. Кроме того, деятельность компании в прошлом не может быть основанием для прогнозирования ее деятельности в будущем. </w:t>
      </w:r>
      <w:proofErr w:type="gramStart"/>
      <w:r>
        <w:rPr>
          <w:rStyle w:val="null1"/>
          <w:sz w:val="22"/>
          <w:szCs w:val="22"/>
        </w:rPr>
        <w:t xml:space="preserve">РУСАЛ не предоставляет никаких заверений относительно достоверности и полноты любого из прогнозных заявлений и не принимает на себя никаких обязательств по дополнению, изменению, обновлению или пересмотру любых таких заявлений или любых выраженных мнений с учетом фактических результатов, изменений в </w:t>
      </w:r>
      <w:r>
        <w:rPr>
          <w:rStyle w:val="null1"/>
          <w:sz w:val="22"/>
          <w:szCs w:val="22"/>
        </w:rPr>
        <w:lastRenderedPageBreak/>
        <w:t xml:space="preserve">предположениях или ожиданиях </w:t>
      </w:r>
      <w:proofErr w:type="spellStart"/>
      <w:r>
        <w:rPr>
          <w:rStyle w:val="null1"/>
          <w:sz w:val="22"/>
          <w:szCs w:val="22"/>
        </w:rPr>
        <w:t>РУСАЛа</w:t>
      </w:r>
      <w:proofErr w:type="spellEnd"/>
      <w:r>
        <w:rPr>
          <w:rStyle w:val="null1"/>
          <w:sz w:val="22"/>
          <w:szCs w:val="22"/>
        </w:rPr>
        <w:t xml:space="preserve"> или изменений в факторах, влияющих на данные заявления.</w:t>
      </w:r>
      <w:proofErr w:type="gramEnd"/>
      <w:r>
        <w:rPr>
          <w:rStyle w:val="null1"/>
          <w:sz w:val="22"/>
          <w:szCs w:val="22"/>
        </w:rPr>
        <w:t xml:space="preserve"> Таким образом, полагаясь на данные прогнозные заявления, Вы делаете это исключительно на свой риск.</w:t>
      </w:r>
    </w:p>
    <w:p w:rsidR="00A87068" w:rsidRDefault="00A87068" w:rsidP="00A87068">
      <w:pPr>
        <w:jc w:val="both"/>
        <w:rPr>
          <w:rStyle w:val="af5"/>
          <w:b w:val="0"/>
          <w:bCs w:val="0"/>
        </w:rPr>
      </w:pPr>
    </w:p>
    <w:p w:rsidR="00A87068" w:rsidRDefault="00A87068" w:rsidP="00A87068">
      <w:pPr>
        <w:rPr>
          <w:rFonts w:ascii="Calibri" w:hAnsi="Calibri" w:cs="Calibri"/>
        </w:rPr>
      </w:pPr>
      <w:r>
        <w:rPr>
          <w:b/>
          <w:bCs/>
          <w:color w:val="000000"/>
          <w:sz w:val="22"/>
          <w:szCs w:val="22"/>
        </w:rPr>
        <w:t>Информация о компании</w:t>
      </w:r>
    </w:p>
    <w:p w:rsidR="00A87068" w:rsidRDefault="00A87068" w:rsidP="00A87068">
      <w:pPr>
        <w:pStyle w:val="null"/>
        <w:spacing w:before="0" w:beforeAutospacing="0" w:after="0" w:afterAutospacing="0" w:line="276" w:lineRule="auto"/>
        <w:jc w:val="both"/>
      </w:pPr>
      <w:r>
        <w:rPr>
          <w:rStyle w:val="null1"/>
          <w:sz w:val="22"/>
          <w:szCs w:val="22"/>
        </w:rPr>
        <w:t>РУСАЛ (</w:t>
      </w:r>
      <w:hyperlink r:id="rId7" w:anchor="_blank" w:history="1">
        <w:r>
          <w:rPr>
            <w:rStyle w:val="null1"/>
            <w:sz w:val="22"/>
            <w:szCs w:val="22"/>
          </w:rPr>
          <w:t>www.rusal.ru</w:t>
        </w:r>
      </w:hyperlink>
      <w:r>
        <w:rPr>
          <w:rStyle w:val="null1"/>
          <w:sz w:val="22"/>
          <w:szCs w:val="22"/>
        </w:rPr>
        <w:t xml:space="preserve">) – лидер мировой алюминиевой отрасли. В 2019 году на долю компании приходилось около 5,9% мирового производства алюминия и 6,3% глинозема. РУСАЛ присутствует в 20 странах мира на 5 континентах. Обыкновенные акции </w:t>
      </w:r>
      <w:proofErr w:type="spellStart"/>
      <w:r>
        <w:rPr>
          <w:rStyle w:val="null1"/>
          <w:sz w:val="22"/>
          <w:szCs w:val="22"/>
        </w:rPr>
        <w:t>РУСАЛа</w:t>
      </w:r>
      <w:proofErr w:type="spellEnd"/>
      <w:r>
        <w:rPr>
          <w:rStyle w:val="null1"/>
          <w:sz w:val="22"/>
          <w:szCs w:val="22"/>
        </w:rPr>
        <w:t xml:space="preserve"> торгуются на Гонконгской фондовой бирже (торговый код 486). Обыкновенные акции </w:t>
      </w:r>
      <w:proofErr w:type="spellStart"/>
      <w:r>
        <w:rPr>
          <w:rStyle w:val="null1"/>
          <w:sz w:val="22"/>
          <w:szCs w:val="22"/>
        </w:rPr>
        <w:t>РУСАЛа</w:t>
      </w:r>
      <w:proofErr w:type="spellEnd"/>
      <w:r>
        <w:rPr>
          <w:rStyle w:val="null1"/>
          <w:sz w:val="22"/>
          <w:szCs w:val="22"/>
        </w:rPr>
        <w:t xml:space="preserve"> торгуются на Московской бирже (торговый код RUAL).</w:t>
      </w:r>
    </w:p>
    <w:p w:rsidR="00324916" w:rsidRDefault="00324916"/>
    <w:sectPr w:rsidR="00324916" w:rsidSect="0018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52" w:rsidRDefault="00997152" w:rsidP="00A87068">
      <w:r>
        <w:separator/>
      </w:r>
    </w:p>
  </w:endnote>
  <w:endnote w:type="continuationSeparator" w:id="0">
    <w:p w:rsidR="00997152" w:rsidRDefault="00997152" w:rsidP="00A8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52" w:rsidRDefault="00997152" w:rsidP="00A87068">
      <w:r>
        <w:separator/>
      </w:r>
    </w:p>
  </w:footnote>
  <w:footnote w:type="continuationSeparator" w:id="0">
    <w:p w:rsidR="00997152" w:rsidRDefault="00997152" w:rsidP="00A87068">
      <w:r>
        <w:continuationSeparator/>
      </w:r>
    </w:p>
  </w:footnote>
  <w:footnote w:id="1">
    <w:p w:rsidR="00E80568" w:rsidRDefault="00E80568" w:rsidP="00A87068">
      <w:pPr>
        <w:pStyle w:val="a5"/>
        <w:rPr>
          <w:i/>
          <w:iCs/>
          <w:sz w:val="18"/>
          <w:szCs w:val="18"/>
        </w:rPr>
      </w:pPr>
      <w:r w:rsidRPr="00A87068">
        <w:rPr>
          <w:rStyle w:val="af4"/>
        </w:rPr>
        <w:t>[9]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Данные, представленные в отчете, основаны на объеме производства, относящемся к доле компании (кроме </w:t>
      </w:r>
      <w:proofErr w:type="spellStart"/>
      <w:r>
        <w:rPr>
          <w:i/>
          <w:iCs/>
          <w:sz w:val="18"/>
          <w:szCs w:val="18"/>
        </w:rPr>
        <w:t>Богучанского</w:t>
      </w:r>
      <w:proofErr w:type="spellEnd"/>
      <w:r>
        <w:rPr>
          <w:i/>
          <w:iCs/>
          <w:sz w:val="18"/>
          <w:szCs w:val="18"/>
        </w:rPr>
        <w:t xml:space="preserve"> алюминиевого завода и </w:t>
      </w:r>
      <w:proofErr w:type="spellStart"/>
      <w:r>
        <w:rPr>
          <w:i/>
          <w:iCs/>
          <w:sz w:val="18"/>
          <w:szCs w:val="18"/>
        </w:rPr>
        <w:t>Богучанской</w:t>
      </w:r>
      <w:proofErr w:type="spellEnd"/>
      <w:r>
        <w:rPr>
          <w:i/>
          <w:iCs/>
          <w:sz w:val="18"/>
          <w:szCs w:val="18"/>
        </w:rPr>
        <w:t xml:space="preserve"> ГЭС). Объемы производства рассчитаны соответственно доле собственности компании (и ее дочерних обществ) в соответствующих глиноземных заводах.</w:t>
      </w:r>
    </w:p>
  </w:footnote>
  <w:footnote w:id="2">
    <w:p w:rsidR="00E80568" w:rsidRDefault="00E80568" w:rsidP="00A87068">
      <w:pPr>
        <w:pStyle w:val="a5"/>
      </w:pPr>
      <w:r w:rsidRPr="00A87068">
        <w:rPr>
          <w:rStyle w:val="af4"/>
        </w:rPr>
        <w:t>[10]</w:t>
      </w:r>
      <w:r w:rsidRPr="00A87068">
        <w:t xml:space="preserve"> </w:t>
      </w:r>
      <w:proofErr w:type="spellStart"/>
      <w:r>
        <w:rPr>
          <w:i/>
          <w:iCs/>
          <w:sz w:val="18"/>
          <w:szCs w:val="18"/>
        </w:rPr>
        <w:t>БоАЗ</w:t>
      </w:r>
      <w:proofErr w:type="spellEnd"/>
      <w:r>
        <w:rPr>
          <w:i/>
          <w:iCs/>
          <w:sz w:val="18"/>
          <w:szCs w:val="18"/>
        </w:rPr>
        <w:t xml:space="preserve"> – </w:t>
      </w:r>
      <w:proofErr w:type="spellStart"/>
      <w:r>
        <w:rPr>
          <w:i/>
          <w:iCs/>
          <w:sz w:val="18"/>
          <w:szCs w:val="18"/>
        </w:rPr>
        <w:t>Богучанский</w:t>
      </w:r>
      <w:proofErr w:type="spellEnd"/>
      <w:r>
        <w:rPr>
          <w:i/>
          <w:iCs/>
          <w:sz w:val="18"/>
          <w:szCs w:val="18"/>
        </w:rPr>
        <w:t xml:space="preserve"> алюминиевый завод </w:t>
      </w:r>
    </w:p>
  </w:footnote>
  <w:footnote w:id="3">
    <w:p w:rsidR="00E80568" w:rsidRDefault="00E80568" w:rsidP="00A87068">
      <w:pPr>
        <w:pStyle w:val="a5"/>
      </w:pPr>
      <w:r w:rsidRPr="00A87068">
        <w:rPr>
          <w:rStyle w:val="af4"/>
        </w:rPr>
        <w:t>[11]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Продажи глинозема третьим лицам, за исключением </w:t>
      </w:r>
      <w:proofErr w:type="gramStart"/>
      <w:r>
        <w:rPr>
          <w:i/>
          <w:iCs/>
          <w:sz w:val="18"/>
          <w:szCs w:val="18"/>
        </w:rPr>
        <w:t>обменных</w:t>
      </w:r>
      <w:proofErr w:type="gramEnd"/>
      <w:r>
        <w:rPr>
          <w:i/>
          <w:iCs/>
          <w:sz w:val="18"/>
          <w:szCs w:val="18"/>
        </w:rPr>
        <w:t xml:space="preserve"> своп-сделок.</w:t>
      </w:r>
    </w:p>
  </w:footnote>
  <w:footnote w:id="4">
    <w:p w:rsidR="00E80568" w:rsidRDefault="00E80568" w:rsidP="00A87068">
      <w:pPr>
        <w:pStyle w:val="a5"/>
        <w:rPr>
          <w:i/>
          <w:iCs/>
          <w:sz w:val="18"/>
          <w:szCs w:val="18"/>
        </w:rPr>
      </w:pPr>
      <w:r w:rsidRPr="00A87068">
        <w:rPr>
          <w:rStyle w:val="af4"/>
        </w:rPr>
        <w:t>[12]</w:t>
      </w:r>
      <w:r w:rsidRPr="00A87068">
        <w:t xml:space="preserve"> </w:t>
      </w:r>
      <w:r>
        <w:rPr>
          <w:i/>
          <w:iCs/>
          <w:sz w:val="18"/>
          <w:szCs w:val="18"/>
        </w:rPr>
        <w:t>Здесь и далее значение «итого» может не совпадать с результатом арифметического сложения данных в таблице в связи с округлением.</w:t>
      </w:r>
    </w:p>
  </w:footnote>
  <w:footnote w:id="5">
    <w:p w:rsidR="00E80568" w:rsidRDefault="00E80568" w:rsidP="00A87068">
      <w:pPr>
        <w:pStyle w:val="a5"/>
      </w:pPr>
      <w:r w:rsidRPr="00A87068">
        <w:rPr>
          <w:rStyle w:val="af4"/>
        </w:rPr>
        <w:t>[13]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Объем производства глинозема на </w:t>
      </w:r>
      <w:r>
        <w:rPr>
          <w:i/>
          <w:iCs/>
          <w:sz w:val="18"/>
          <w:szCs w:val="18"/>
          <w:lang w:val="en-US"/>
        </w:rPr>
        <w:t>Queensland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n-US"/>
        </w:rPr>
        <w:t>Alumina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en-US"/>
        </w:rPr>
        <w:t>Ltd</w:t>
      </w:r>
      <w:r w:rsidRPr="00A8706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рассчитан соответственно 20%-й доле собственности компании.</w:t>
      </w:r>
    </w:p>
  </w:footnote>
  <w:footnote w:id="6">
    <w:p w:rsidR="00E80568" w:rsidRDefault="00E80568" w:rsidP="00A87068">
      <w:pPr>
        <w:pStyle w:val="a5"/>
        <w:rPr>
          <w:i/>
          <w:iCs/>
          <w:sz w:val="18"/>
          <w:szCs w:val="18"/>
        </w:rPr>
      </w:pPr>
      <w:r w:rsidRPr="00A87068">
        <w:rPr>
          <w:rStyle w:val="af4"/>
        </w:rPr>
        <w:t>[14]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Нефелиновая руда используется в качестве сырья для производства глинозема </w:t>
      </w:r>
      <w:proofErr w:type="gramStart"/>
      <w:r>
        <w:rPr>
          <w:i/>
          <w:iCs/>
          <w:sz w:val="18"/>
          <w:szCs w:val="18"/>
        </w:rPr>
        <w:t>на</w:t>
      </w:r>
      <w:proofErr w:type="gramEnd"/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Ачинском</w:t>
      </w:r>
      <w:proofErr w:type="gramEnd"/>
      <w:r>
        <w:rPr>
          <w:i/>
          <w:iCs/>
          <w:sz w:val="18"/>
          <w:szCs w:val="18"/>
        </w:rPr>
        <w:t xml:space="preserve"> глиноземном комбинате.</w:t>
      </w:r>
    </w:p>
  </w:footnote>
  <w:footnote w:id="7">
    <w:p w:rsidR="00E80568" w:rsidRDefault="00E80568" w:rsidP="00A87068">
      <w:pPr>
        <w:pStyle w:val="a5"/>
        <w:rPr>
          <w:i/>
          <w:iCs/>
          <w:sz w:val="18"/>
          <w:szCs w:val="18"/>
        </w:rPr>
      </w:pPr>
      <w:r w:rsidRPr="00A87068">
        <w:rPr>
          <w:rStyle w:val="af4"/>
        </w:rPr>
        <w:t>[15]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Данные по </w:t>
      </w:r>
      <w:proofErr w:type="spellStart"/>
      <w:r>
        <w:rPr>
          <w:i/>
          <w:iCs/>
          <w:sz w:val="18"/>
          <w:szCs w:val="18"/>
        </w:rPr>
        <w:t>Богучанской</w:t>
      </w:r>
      <w:proofErr w:type="spellEnd"/>
      <w:r>
        <w:rPr>
          <w:i/>
          <w:iCs/>
          <w:sz w:val="18"/>
          <w:szCs w:val="18"/>
        </w:rPr>
        <w:t xml:space="preserve"> ГЭС представлены на основе 100% объема выработанной электроэнергии (без расчета соответственно доле собственности компании).</w:t>
      </w:r>
    </w:p>
  </w:footnote>
  <w:footnote w:id="8">
    <w:p w:rsidR="00E80568" w:rsidRDefault="00E80568" w:rsidP="00A87068">
      <w:pPr>
        <w:pStyle w:val="a5"/>
        <w:rPr>
          <w:i/>
          <w:iCs/>
          <w:sz w:val="18"/>
          <w:szCs w:val="18"/>
        </w:rPr>
      </w:pPr>
      <w:r w:rsidRPr="00A87068">
        <w:rPr>
          <w:rStyle w:val="af4"/>
        </w:rPr>
        <w:t>[16]</w:t>
      </w:r>
      <w:r>
        <w:rPr>
          <w:i/>
          <w:iCs/>
          <w:sz w:val="18"/>
          <w:szCs w:val="18"/>
        </w:rPr>
        <w:t xml:space="preserve">Данные по </w:t>
      </w:r>
      <w:proofErr w:type="spellStart"/>
      <w:r>
        <w:rPr>
          <w:i/>
          <w:iCs/>
          <w:sz w:val="18"/>
          <w:szCs w:val="18"/>
        </w:rPr>
        <w:t>Богучанскому</w:t>
      </w:r>
      <w:proofErr w:type="spellEnd"/>
      <w:r>
        <w:rPr>
          <w:i/>
          <w:iCs/>
          <w:sz w:val="18"/>
          <w:szCs w:val="18"/>
        </w:rPr>
        <w:t xml:space="preserve"> алюминиевому заводу представлены на основе 100% объема производства (без расчета соответственно доле собственности компании).</w:t>
      </w:r>
    </w:p>
  </w:footnote>
  <w:footnote w:id="9">
    <w:p w:rsidR="00E80568" w:rsidRDefault="00E80568" w:rsidP="00A87068">
      <w:pPr>
        <w:pStyle w:val="a5"/>
      </w:pPr>
      <w:r w:rsidRPr="00A87068">
        <w:rPr>
          <w:rStyle w:val="af4"/>
        </w:rPr>
        <w:t>[17]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Объем добычи угля </w:t>
      </w:r>
      <w:proofErr w:type="gramStart"/>
      <w:r>
        <w:rPr>
          <w:i/>
          <w:iCs/>
          <w:sz w:val="18"/>
          <w:szCs w:val="18"/>
        </w:rPr>
        <w:t>на</w:t>
      </w:r>
      <w:proofErr w:type="gramEnd"/>
      <w:r>
        <w:rPr>
          <w:i/>
          <w:iCs/>
          <w:sz w:val="18"/>
          <w:szCs w:val="18"/>
        </w:rPr>
        <w:t xml:space="preserve"> «</w:t>
      </w:r>
      <w:proofErr w:type="gramStart"/>
      <w:r>
        <w:rPr>
          <w:i/>
          <w:iCs/>
          <w:sz w:val="18"/>
          <w:szCs w:val="18"/>
        </w:rPr>
        <w:t>Богатырь</w:t>
      </w:r>
      <w:proofErr w:type="gram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Комир</w:t>
      </w:r>
      <w:proofErr w:type="spellEnd"/>
      <w:r>
        <w:rPr>
          <w:i/>
          <w:iCs/>
          <w:sz w:val="18"/>
          <w:szCs w:val="18"/>
        </w:rPr>
        <w:t>» рассчитан соответственно 50% доле собственности компании.</w:t>
      </w:r>
    </w:p>
  </w:footnote>
  <w:footnote w:id="10">
    <w:p w:rsidR="00E80568" w:rsidRDefault="00E80568" w:rsidP="00A87068">
      <w:pPr>
        <w:pStyle w:val="a5"/>
      </w:pPr>
      <w:r w:rsidRPr="00A87068">
        <w:rPr>
          <w:rStyle w:val="af4"/>
        </w:rPr>
        <w:t>[18]</w:t>
      </w:r>
      <w:r w:rsidRPr="00A87068">
        <w:t xml:space="preserve"> </w:t>
      </w:r>
      <w:r>
        <w:rPr>
          <w:i/>
          <w:iCs/>
          <w:sz w:val="18"/>
          <w:szCs w:val="18"/>
        </w:rPr>
        <w:t xml:space="preserve">Объем перевозок </w:t>
      </w:r>
      <w:proofErr w:type="gramStart"/>
      <w:r>
        <w:rPr>
          <w:i/>
          <w:iCs/>
          <w:sz w:val="18"/>
          <w:szCs w:val="18"/>
        </w:rPr>
        <w:t>для</w:t>
      </w:r>
      <w:proofErr w:type="gramEnd"/>
      <w:r>
        <w:rPr>
          <w:i/>
          <w:iCs/>
          <w:sz w:val="18"/>
          <w:szCs w:val="18"/>
        </w:rPr>
        <w:t xml:space="preserve"> «</w:t>
      </w:r>
      <w:proofErr w:type="gramStart"/>
      <w:r>
        <w:rPr>
          <w:i/>
          <w:iCs/>
          <w:sz w:val="18"/>
          <w:szCs w:val="18"/>
        </w:rPr>
        <w:t>Богатырь</w:t>
      </w:r>
      <w:proofErr w:type="gramEnd"/>
      <w:r>
        <w:rPr>
          <w:i/>
          <w:iCs/>
          <w:sz w:val="18"/>
          <w:szCs w:val="18"/>
        </w:rPr>
        <w:t xml:space="preserve"> Транс» рассчитан соответственно 50% доле собственности компании.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4C6"/>
    <w:multiLevelType w:val="hybridMultilevel"/>
    <w:tmpl w:val="23BA199C"/>
    <w:lvl w:ilvl="0" w:tplc="F0E0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A431A"/>
    <w:multiLevelType w:val="hybridMultilevel"/>
    <w:tmpl w:val="2FD08D0A"/>
    <w:lvl w:ilvl="0" w:tplc="4BE4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2CC5"/>
    <w:multiLevelType w:val="hybridMultilevel"/>
    <w:tmpl w:val="AB94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C6D69"/>
    <w:multiLevelType w:val="hybridMultilevel"/>
    <w:tmpl w:val="7288253A"/>
    <w:lvl w:ilvl="0" w:tplc="8A823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E7CB7"/>
    <w:multiLevelType w:val="multilevel"/>
    <w:tmpl w:val="AB4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F2E"/>
    <w:rsid w:val="00175450"/>
    <w:rsid w:val="0018405D"/>
    <w:rsid w:val="00324916"/>
    <w:rsid w:val="003E4324"/>
    <w:rsid w:val="00997152"/>
    <w:rsid w:val="00A87068"/>
    <w:rsid w:val="00B21B17"/>
    <w:rsid w:val="00B46174"/>
    <w:rsid w:val="00BA4CD7"/>
    <w:rsid w:val="00E2178A"/>
    <w:rsid w:val="00E80568"/>
    <w:rsid w:val="00F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0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068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8706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70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8706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706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87068"/>
  </w:style>
  <w:style w:type="character" w:customStyle="1" w:styleId="aa">
    <w:name w:val="Верхний колонтитул Знак"/>
    <w:basedOn w:val="a0"/>
    <w:link w:val="a9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87068"/>
  </w:style>
  <w:style w:type="character" w:customStyle="1" w:styleId="ac">
    <w:name w:val="Нижний колонтитул Знак"/>
    <w:basedOn w:val="a0"/>
    <w:link w:val="ab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7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A87068"/>
    <w:rPr>
      <w:rFonts w:ascii="MingLiU" w:eastAsia="MingLiU" w:hAnsi="MingLiU"/>
      <w:lang w:eastAsia="zh-TW"/>
    </w:rPr>
  </w:style>
  <w:style w:type="character" w:customStyle="1" w:styleId="ae">
    <w:name w:val="Текст Знак"/>
    <w:basedOn w:val="a0"/>
    <w:link w:val="ad"/>
    <w:uiPriority w:val="99"/>
    <w:semiHidden/>
    <w:rsid w:val="00A87068"/>
    <w:rPr>
      <w:rFonts w:ascii="MingLiU" w:eastAsia="MingLiU" w:hAnsi="MingLiU" w:cs="Times New Roman"/>
      <w:sz w:val="24"/>
      <w:szCs w:val="24"/>
      <w:lang w:eastAsia="zh-TW"/>
    </w:rPr>
  </w:style>
  <w:style w:type="paragraph" w:styleId="af">
    <w:name w:val="annotation subject"/>
    <w:basedOn w:val="a"/>
    <w:link w:val="af0"/>
    <w:uiPriority w:val="99"/>
    <w:semiHidden/>
    <w:unhideWhenUsed/>
    <w:rsid w:val="00A87068"/>
    <w:rPr>
      <w:b/>
      <w:bCs/>
      <w:sz w:val="20"/>
      <w:szCs w:val="20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870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70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7068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87068"/>
    <w:pPr>
      <w:ind w:left="720"/>
      <w:contextualSpacing/>
    </w:pPr>
  </w:style>
  <w:style w:type="paragraph" w:customStyle="1" w:styleId="null">
    <w:name w:val="null"/>
    <w:basedOn w:val="a"/>
    <w:rsid w:val="00A87068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rsid w:val="00A87068"/>
    <w:rPr>
      <w:vertAlign w:val="superscript"/>
    </w:rPr>
  </w:style>
  <w:style w:type="character" w:customStyle="1" w:styleId="emailstyle37">
    <w:name w:val="emailstyle37"/>
    <w:basedOn w:val="a0"/>
    <w:semiHidden/>
    <w:rsid w:val="00A87068"/>
    <w:rPr>
      <w:rFonts w:ascii="Calibri" w:hAnsi="Calibri" w:cs="Calibri" w:hint="default"/>
      <w:color w:val="auto"/>
    </w:rPr>
  </w:style>
  <w:style w:type="character" w:customStyle="1" w:styleId="null1">
    <w:name w:val="null1"/>
    <w:basedOn w:val="a0"/>
    <w:rsid w:val="00A87068"/>
  </w:style>
  <w:style w:type="character" w:styleId="af5">
    <w:name w:val="Strong"/>
    <w:basedOn w:val="a0"/>
    <w:uiPriority w:val="22"/>
    <w:qFormat/>
    <w:rsid w:val="00A87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0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068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8706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706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8706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706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87068"/>
  </w:style>
  <w:style w:type="character" w:customStyle="1" w:styleId="aa">
    <w:name w:val="Верхний колонтитул Знак"/>
    <w:basedOn w:val="a0"/>
    <w:link w:val="a9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87068"/>
  </w:style>
  <w:style w:type="character" w:customStyle="1" w:styleId="ac">
    <w:name w:val="Нижний колонтитул Знак"/>
    <w:basedOn w:val="a0"/>
    <w:link w:val="ab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70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8706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A87068"/>
    <w:rPr>
      <w:rFonts w:ascii="MingLiU" w:eastAsia="MingLiU" w:hAnsi="MingLiU"/>
      <w:lang w:eastAsia="zh-TW"/>
    </w:rPr>
  </w:style>
  <w:style w:type="character" w:customStyle="1" w:styleId="ae">
    <w:name w:val="Текст Знак"/>
    <w:basedOn w:val="a0"/>
    <w:link w:val="ad"/>
    <w:uiPriority w:val="99"/>
    <w:semiHidden/>
    <w:rsid w:val="00A87068"/>
    <w:rPr>
      <w:rFonts w:ascii="MingLiU" w:eastAsia="MingLiU" w:hAnsi="MingLiU" w:cs="Times New Roman"/>
      <w:sz w:val="24"/>
      <w:szCs w:val="24"/>
      <w:lang w:eastAsia="zh-TW"/>
    </w:rPr>
  </w:style>
  <w:style w:type="paragraph" w:styleId="af">
    <w:name w:val="annotation subject"/>
    <w:basedOn w:val="a"/>
    <w:link w:val="af0"/>
    <w:uiPriority w:val="99"/>
    <w:semiHidden/>
    <w:unhideWhenUsed/>
    <w:rsid w:val="00A87068"/>
    <w:rPr>
      <w:b/>
      <w:bCs/>
      <w:sz w:val="20"/>
      <w:szCs w:val="20"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A8706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70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7068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87068"/>
    <w:pPr>
      <w:ind w:left="720"/>
      <w:contextualSpacing/>
    </w:pPr>
  </w:style>
  <w:style w:type="paragraph" w:customStyle="1" w:styleId="null">
    <w:name w:val="null"/>
    <w:basedOn w:val="a"/>
    <w:rsid w:val="00A87068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rsid w:val="00A87068"/>
    <w:rPr>
      <w:vertAlign w:val="superscript"/>
    </w:rPr>
  </w:style>
  <w:style w:type="character" w:customStyle="1" w:styleId="emailstyle37">
    <w:name w:val="emailstyle37"/>
    <w:basedOn w:val="a0"/>
    <w:semiHidden/>
    <w:rsid w:val="00A87068"/>
    <w:rPr>
      <w:rFonts w:ascii="Calibri" w:hAnsi="Calibri" w:cs="Calibri" w:hint="default"/>
      <w:color w:val="auto"/>
    </w:rPr>
  </w:style>
  <w:style w:type="character" w:customStyle="1" w:styleId="null1">
    <w:name w:val="null1"/>
    <w:basedOn w:val="a0"/>
    <w:rsid w:val="00A87068"/>
  </w:style>
  <w:style w:type="character" w:styleId="af5">
    <w:name w:val="Strong"/>
    <w:basedOn w:val="a0"/>
    <w:uiPriority w:val="22"/>
    <w:qFormat/>
    <w:rsid w:val="00A870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usal.ru/owa/redir.aspx?C=oSGaW4s6GWswyh8Ko7ZCzojoWl-nj9m9kOQmpW2GTUe57Pa2AsHWCA..&amp;URL=http%3a%2f%2fwww.rus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OperatorOO</cp:lastModifiedBy>
  <cp:revision>5</cp:revision>
  <dcterms:created xsi:type="dcterms:W3CDTF">2020-04-27T10:14:00Z</dcterms:created>
  <dcterms:modified xsi:type="dcterms:W3CDTF">2020-04-27T14:51:00Z</dcterms:modified>
</cp:coreProperties>
</file>