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РУСАЛ объявляет финансовые результаты 2020 года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РУСАЛ (торговый код на Гонконгской фондовой бирже 486, на Московской бирже RUAL), один из крупнейших в мире производителей алюминия, объявляет результаты деятельности компании по итогам 2020 года.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eastAsia="ru-RU"/>
        </w:rPr>
        <w:t>Основные результаты: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C330D">
        <w:rPr>
          <w:rFonts w:ascii="Symbol" w:eastAsia="Times New Roman" w:hAnsi="Symbol" w:cs="Arial"/>
          <w:color w:val="000000"/>
          <w:sz w:val="23"/>
          <w:szCs w:val="23"/>
          <w:lang w:eastAsia="ru-RU"/>
        </w:rPr>
        <w:t></w:t>
      </w:r>
      <w:r w:rsidRPr="009C33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C330D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9C330D">
        <w:rPr>
          <w:rFonts w:ascii="Arial" w:eastAsia="Times New Roman" w:hAnsi="Arial" w:cs="Arial"/>
          <w:color w:val="000000"/>
          <w:lang w:eastAsia="ru-RU"/>
        </w:rPr>
        <w:t xml:space="preserve"> 2020 году пандемия COVID-19 оказала существенное влияние на результаты деятельности Компании, особенно в первые месяцы, когда вспышка новой </w:t>
      </w:r>
      <w:proofErr w:type="spellStart"/>
      <w:r w:rsidRPr="009C330D">
        <w:rPr>
          <w:rFonts w:ascii="Arial" w:eastAsia="Times New Roman" w:hAnsi="Arial" w:cs="Arial"/>
          <w:color w:val="000000"/>
          <w:lang w:eastAsia="ru-RU"/>
        </w:rPr>
        <w:t>коронавирусной</w:t>
      </w:r>
      <w:proofErr w:type="spellEnd"/>
      <w:r w:rsidRPr="009C330D">
        <w:rPr>
          <w:rFonts w:ascii="Arial" w:eastAsia="Times New Roman" w:hAnsi="Arial" w:cs="Arial"/>
          <w:color w:val="000000"/>
          <w:lang w:eastAsia="ru-RU"/>
        </w:rPr>
        <w:t xml:space="preserve"> инфекции вызвала потрясение на мировых рынках. Помимо последствий более общего характера, таких как резкое падение цен на нефть, пандемия спровоцировала высокую волатильность на фондовом рынке</w:t>
      </w:r>
      <w:r w:rsidRPr="009C330D">
        <w:rPr>
          <w:rFonts w:ascii="Arial" w:eastAsia="Times New Roman" w:hAnsi="Arial" w:cs="Arial"/>
          <w:color w:val="000000"/>
          <w:lang w:eastAsia="ru-RU"/>
        </w:rPr>
        <w:br/>
        <w:t>в сочетании со значительным снижением биржевых индексов, продолжающимся снижением цен на алюминий на Лондонской бирже металлов (LME) и обесцениванием российского рубля. Однако во втором полугодии наблюдалось быстрое восстановление после пандемии, и к декабрю 2020 года цены на алюминий в основном вернулись к уровню, предшествующему пандемии COVID-19.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Symbol" w:eastAsia="Times New Roman" w:hAnsi="Symbol" w:cs="Arial"/>
          <w:color w:val="000000"/>
          <w:lang w:eastAsia="ru-RU"/>
        </w:rPr>
        <w:t></w:t>
      </w:r>
      <w:r w:rsidRPr="009C33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C330D">
        <w:rPr>
          <w:rFonts w:ascii="Arial" w:eastAsia="Times New Roman" w:hAnsi="Arial" w:cs="Arial"/>
          <w:color w:val="000000"/>
          <w:lang w:eastAsia="ru-RU"/>
        </w:rPr>
        <w:t>По итогам отчетного периода выручка РУСАЛа сократилась на 11,8% </w:t>
      </w: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– </w:t>
      </w:r>
      <w:r w:rsidRPr="009C330D">
        <w:rPr>
          <w:rFonts w:ascii="Arial" w:eastAsia="Times New Roman" w:hAnsi="Arial" w:cs="Arial"/>
          <w:color w:val="000000"/>
          <w:lang w:eastAsia="ru-RU"/>
        </w:rPr>
        <w:t>до 8 566 млн долл. США по сравнению с 9 711 млн долл. США в 2019 году. Это произошло в результате снижения средней цены на алюминий на LME на 5,0% с 1 792 долл. США за тонну в 2019 году до 1 702 долл. США за тонну в 2020 году, а также за счёт сокращения объёма реализации первичного алюминия и сплавов на 6,0%. Необходимо учитывать, что снижение показателя в основном связано с более высокой базой 2019 года, когда объемы продаж были выше нормального уровня из-за реализации избыточных складских запасов первичного алюминия, накопленных в течение 2018 года по причине санкций OFAC.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C330D">
        <w:rPr>
          <w:rFonts w:ascii="Symbol" w:eastAsia="Times New Roman" w:hAnsi="Symbol" w:cs="Arial"/>
          <w:color w:val="000000"/>
          <w:lang w:eastAsia="ru-RU"/>
        </w:rPr>
        <w:t></w:t>
      </w:r>
      <w:r w:rsidRPr="009C33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C330D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9C330D">
        <w:rPr>
          <w:rFonts w:ascii="Arial" w:eastAsia="Times New Roman" w:hAnsi="Arial" w:cs="Arial"/>
          <w:color w:val="000000"/>
          <w:lang w:eastAsia="ru-RU"/>
        </w:rPr>
        <w:t xml:space="preserve"> то же время благодаря диверсификации клиентской базы и оперативным управленческим решениям реализация продукции с добавленной стоимостью (ПДС) увеличилась на 11,3% </w:t>
      </w: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– </w:t>
      </w:r>
      <w:r w:rsidRPr="009C330D">
        <w:rPr>
          <w:rFonts w:ascii="Arial" w:eastAsia="Times New Roman" w:hAnsi="Arial" w:cs="Arial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br/>
        <w:t>1 722 тыс. тонн. Доля продаж ПДС в общем объёме продаж составила 44% (по сравнению с 37% в 2019 году). Такое расширение продаж ПДС в 2020 году было достигнуто на фоне волатильности рынка и снижения мирового спроса на алюминий, вызванного пандемией COVID-19.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Symbol" w:eastAsia="Times New Roman" w:hAnsi="Symbol" w:cs="Arial"/>
          <w:color w:val="000000"/>
          <w:lang w:eastAsia="ru-RU"/>
        </w:rPr>
        <w:t></w:t>
      </w:r>
      <w:r w:rsidRPr="009C33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C330D">
        <w:rPr>
          <w:rFonts w:ascii="Arial" w:eastAsia="Times New Roman" w:hAnsi="Arial" w:cs="Arial"/>
          <w:color w:val="000000"/>
          <w:lang w:eastAsia="ru-RU"/>
        </w:rPr>
        <w:t>Несмотря на волатильность рынка, в результате эффективного управления затратами в сочетании с обесцениванием российского рубля себестоимость производства одной тонны в алюминиевом сегменте в 2020 году снизилась на 7,1% </w:t>
      </w: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– </w:t>
      </w:r>
      <w:r w:rsidRPr="009C330D">
        <w:rPr>
          <w:rFonts w:ascii="Arial" w:eastAsia="Times New Roman" w:hAnsi="Arial" w:cs="Arial"/>
          <w:color w:val="000000"/>
          <w:lang w:eastAsia="ru-RU"/>
        </w:rPr>
        <w:t>до 1 512 долл. США за тонну по сравнению с 1 627 долл. США за тонну в 2019 году.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Symbol" w:eastAsia="Times New Roman" w:hAnsi="Symbol" w:cs="Arial"/>
          <w:color w:val="000000"/>
          <w:lang w:eastAsia="ru-RU"/>
        </w:rPr>
        <w:t></w:t>
      </w:r>
      <w:r w:rsidRPr="009C33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C330D">
        <w:rPr>
          <w:rFonts w:ascii="Arial" w:eastAsia="Times New Roman" w:hAnsi="Arial" w:cs="Arial"/>
          <w:color w:val="000000"/>
          <w:lang w:eastAsia="ru-RU"/>
        </w:rPr>
        <w:t xml:space="preserve">Помимо сохранения стабильных финансовых и операционных результатов на протяжении этого сложного года, в сентябре 2020 года Компания завершила регистрацию в качестве нового резидента специального административного района на острове Октябрьский (Калининградская область России), окончательно оформив тем самым процедуру </w:t>
      </w:r>
      <w:proofErr w:type="spellStart"/>
      <w:r w:rsidRPr="009C330D">
        <w:rPr>
          <w:rFonts w:ascii="Arial" w:eastAsia="Times New Roman" w:hAnsi="Arial" w:cs="Arial"/>
          <w:color w:val="000000"/>
          <w:lang w:eastAsia="ru-RU"/>
        </w:rPr>
        <w:t>редомициляции</w:t>
      </w:r>
      <w:proofErr w:type="spellEnd"/>
      <w:r w:rsidRPr="009C330D">
        <w:rPr>
          <w:rFonts w:ascii="Arial" w:eastAsia="Times New Roman" w:hAnsi="Arial" w:cs="Arial"/>
          <w:color w:val="000000"/>
          <w:lang w:eastAsia="ru-RU"/>
        </w:rPr>
        <w:t>.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Symbol" w:eastAsia="Times New Roman" w:hAnsi="Symbol" w:cs="Arial"/>
          <w:color w:val="000000"/>
          <w:lang w:eastAsia="ru-RU"/>
        </w:rPr>
        <w:t></w:t>
      </w:r>
      <w:r w:rsidRPr="009C330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C330D">
        <w:rPr>
          <w:rFonts w:ascii="Arial" w:eastAsia="Times New Roman" w:hAnsi="Arial" w:cs="Arial"/>
          <w:color w:val="000000"/>
          <w:lang w:eastAsia="ru-RU"/>
        </w:rPr>
        <w:t xml:space="preserve">Группа согласовала новые условия двусторонней сделки со Сбербанком, обеспеченной акциями «Норильского никеля». Окончательный срок погашения был перенесен с 2024 на 2027 год, процентная ставка была снижена: по долларовому траншу с 3-мес. </w:t>
      </w:r>
      <w:proofErr w:type="spellStart"/>
      <w:r w:rsidRPr="009C330D">
        <w:rPr>
          <w:rFonts w:ascii="Arial" w:eastAsia="Times New Roman" w:hAnsi="Arial" w:cs="Arial"/>
          <w:color w:val="000000"/>
          <w:lang w:eastAsia="ru-RU"/>
        </w:rPr>
        <w:t>Libor</w:t>
      </w:r>
      <w:proofErr w:type="spellEnd"/>
      <w:r w:rsidRPr="009C330D">
        <w:rPr>
          <w:rFonts w:ascii="Arial" w:eastAsia="Times New Roman" w:hAnsi="Arial" w:cs="Arial"/>
          <w:color w:val="000000"/>
          <w:lang w:eastAsia="ru-RU"/>
        </w:rPr>
        <w:t xml:space="preserve"> + 3,75% (с нижней границей </w:t>
      </w:r>
      <w:proofErr w:type="spellStart"/>
      <w:r w:rsidRPr="009C330D">
        <w:rPr>
          <w:rFonts w:ascii="Arial" w:eastAsia="Times New Roman" w:hAnsi="Arial" w:cs="Arial"/>
          <w:color w:val="000000"/>
          <w:lang w:eastAsia="ru-RU"/>
        </w:rPr>
        <w:t>Libor</w:t>
      </w:r>
      <w:proofErr w:type="spellEnd"/>
      <w:r w:rsidRPr="009C330D">
        <w:rPr>
          <w:rFonts w:ascii="Arial" w:eastAsia="Times New Roman" w:hAnsi="Arial" w:cs="Arial"/>
          <w:color w:val="000000"/>
          <w:lang w:eastAsia="ru-RU"/>
        </w:rPr>
        <w:t xml:space="preserve"> = 1,0%) до 3-мес. </w:t>
      </w:r>
      <w:proofErr w:type="spellStart"/>
      <w:r w:rsidRPr="009C330D">
        <w:rPr>
          <w:rFonts w:ascii="Arial" w:eastAsia="Times New Roman" w:hAnsi="Arial" w:cs="Arial"/>
          <w:color w:val="000000"/>
          <w:lang w:eastAsia="ru-RU"/>
        </w:rPr>
        <w:t>Libor</w:t>
      </w:r>
      <w:proofErr w:type="spellEnd"/>
      <w:r w:rsidRPr="009C330D">
        <w:rPr>
          <w:rFonts w:ascii="Arial" w:eastAsia="Times New Roman" w:hAnsi="Arial" w:cs="Arial"/>
          <w:color w:val="000000"/>
          <w:lang w:eastAsia="ru-RU"/>
        </w:rPr>
        <w:t xml:space="preserve"> + 3,0% (без нижней границы </w:t>
      </w:r>
      <w:proofErr w:type="spellStart"/>
      <w:r w:rsidRPr="009C330D">
        <w:rPr>
          <w:rFonts w:ascii="Arial" w:eastAsia="Times New Roman" w:hAnsi="Arial" w:cs="Arial"/>
          <w:color w:val="000000"/>
          <w:lang w:eastAsia="ru-RU"/>
        </w:rPr>
        <w:t>Libor</w:t>
      </w:r>
      <w:proofErr w:type="spellEnd"/>
      <w:r w:rsidRPr="009C330D">
        <w:rPr>
          <w:rFonts w:ascii="Arial" w:eastAsia="Times New Roman" w:hAnsi="Arial" w:cs="Arial"/>
          <w:color w:val="000000"/>
          <w:lang w:eastAsia="ru-RU"/>
        </w:rPr>
        <w:t>), а по рублёвому траншу с 9,15% до ключевой ставки Банка России + 1,9%.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Комментируя результаты 2020 года, генеральный директор РУСАЛа Евгений Никитин отметил: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«2020 год показал, что несмотря на новые вызовы и рыночную турбулентность, РУСАЛ неуклонно следовал своим стратегическим целям и добился высоких результатов. С целью противодействия пандемии COVID-19 на всех наших предприятиях были внедрены максимальные меры санитарно-эпидемиологической безопасности, что позволило РУСАЛу поддерживать клиентский сервис на самом высоком уровне и обеспечить бесперебойную работу всех логистических цепочек.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Особенно заметно показатели выросли во втором полугодии, в итоге по сравнению с 2019 годом продажи продукции с добавленной стоимостью (ПДС) увеличились на 11,3% до 1 722 тыс. тонн.  Мы также увеличили свою долю рынка по сравнению с конкурентами. Доля ПДС в общем объеме продаж составила 44% (против 37% в 2019 году). Все это на фоне общемирового снижения спроса на алюминий вследствие COVID-19. В течение года мы смогли укрепить позиции в ключевых для нас сегментах: автомобилестроении, строительстве, упаковке – продвигая наш флагманский </w:t>
      </w:r>
      <w:proofErr w:type="spellStart"/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низкоуглеродный</w:t>
      </w:r>
      <w:proofErr w:type="spellEnd"/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бренд ALLOW как среди существующих, так и среди новых покупателей.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 инноваций и внедрение технологических достижений остаются важнейшим приоритетом Компании. РУСАЛ стал первым производителем алюминия, который не только разработал, но и успешно внедрил в опытно-промышленное производство революционную технологию – электролизер с инертным анодом. В сочетании с возобновляемой гидроэнергетикой технология инертного анода обеспечивает максимально низкий углеродный след первичного металла, способствуя созданию более устойчивой и экологичной экономики».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Основные показатели финансовой и операционной деятельности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45"/>
        <w:gridCol w:w="63"/>
        <w:gridCol w:w="685"/>
        <w:gridCol w:w="685"/>
        <w:gridCol w:w="891"/>
        <w:gridCol w:w="63"/>
        <w:gridCol w:w="2226"/>
        <w:gridCol w:w="891"/>
        <w:gridCol w:w="257"/>
        <w:gridCol w:w="452"/>
        <w:gridCol w:w="186"/>
        <w:gridCol w:w="452"/>
        <w:gridCol w:w="190"/>
        <w:gridCol w:w="1092"/>
        <w:gridCol w:w="54"/>
      </w:tblGrid>
      <w:tr w:rsidR="009C330D" w:rsidRPr="009C330D" w:rsidTr="009C330D">
        <w:trPr>
          <w:trHeight w:val="901"/>
        </w:trPr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Шесть месяцев,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45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(2П/2П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),%</w:t>
            </w:r>
            <w:proofErr w:type="gramEnd"/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Шесть 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месяцев,   </w:t>
            </w:r>
            <w:proofErr w:type="gramEnd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 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июня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(2П/1П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),%</w:t>
            </w:r>
            <w:proofErr w:type="gramEnd"/>
          </w:p>
        </w:tc>
        <w:tc>
          <w:tcPr>
            <w:tcW w:w="75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Изменение,  год</w:t>
            </w:r>
            <w:proofErr w:type="gramEnd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к году, %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4850" w:type="pct"/>
            <w:gridSpan w:val="1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Основные показатели операционной деятельности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(тыс. тонн)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(0,1%)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1 867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3 755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(0,1%)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Глинозём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4 008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3,8%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4 022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3,4%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8 182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7 858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Бокситы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7 369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7 974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(7,6%)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7 469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(1,3%)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14 838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16 047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(7,5%)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4850" w:type="pct"/>
            <w:gridSpan w:val="1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Основные ценовые показатели и показатели эффективности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(тыс. тонн)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ind w:left="18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 реализации первичного алюминия и сплавов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(7,4%)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3 926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4 176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(6,0%)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(долл. США за тонну)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Себестоимость тонны в алюминиевом сегменте</w:t>
            </w:r>
            <w:hyperlink r:id="rId4" w:anchor="411534e4bbd2a814mailruanchor__ftn1" w:tgtFrame="_blank" w:history="1">
              <w:r w:rsidRPr="009C330D">
                <w:rPr>
                  <w:rFonts w:ascii="Arial" w:eastAsia="Times New Roman" w:hAnsi="Arial" w:cs="Arial"/>
                  <w:color w:val="2222CC"/>
                  <w:sz w:val="18"/>
                  <w:szCs w:val="18"/>
                  <w:u w:val="single"/>
                  <w:lang w:eastAsia="ru-RU"/>
                </w:rPr>
                <w:t>[1]</w:t>
              </w:r>
            </w:hyperlink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(8,5%)</w:t>
            </w:r>
          </w:p>
        </w:tc>
        <w:tc>
          <w:tcPr>
            <w:tcW w:w="7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1 564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(6,4%)</w:t>
            </w:r>
          </w:p>
        </w:tc>
        <w:tc>
          <w:tcPr>
            <w:tcW w:w="4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1 627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(7,1%)</w:t>
            </w: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ind w:left="227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rPr>
          <w:trHeight w:val="737"/>
        </w:trPr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ind w:left="227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Шесть месяцев,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(2П/2П</w:t>
            </w:r>
            <w:proofErr w:type="gram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),%</w:t>
            </w:r>
            <w:proofErr w:type="gram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Шесть 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месяцев,   </w:t>
            </w:r>
            <w:proofErr w:type="gramEnd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 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июня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(2П/1П</w:t>
            </w:r>
            <w:proofErr w:type="gram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),%</w:t>
            </w:r>
            <w:proofErr w:type="gramEnd"/>
          </w:p>
        </w:tc>
        <w:tc>
          <w:tcPr>
            <w:tcW w:w="70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Изменение,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год к году, %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ind w:left="227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ind w:left="227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алюминия за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тонну на LME</w:t>
            </w:r>
            <w:hyperlink r:id="rId5" w:anchor="f473485c18ff1a65mailruanchor__ftn2" w:tgtFrame="_blank" w:history="1">
              <w:r w:rsidRPr="009C330D">
                <w:rPr>
                  <w:rFonts w:ascii="Arial" w:eastAsia="Times New Roman" w:hAnsi="Arial" w:cs="Arial"/>
                  <w:color w:val="2222CC"/>
                  <w:sz w:val="18"/>
                  <w:szCs w:val="18"/>
                  <w:u w:val="single"/>
                  <w:lang w:eastAsia="ru-RU"/>
                </w:rPr>
                <w:t>[2]</w:t>
              </w:r>
            </w:hyperlink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1 812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1 757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13,8%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1 702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(5,0%)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премия к цене на LME</w:t>
            </w:r>
            <w:hyperlink r:id="rId6" w:anchor="f0de0c826cc19b02mailruanchor__ftn3" w:tgtFrame="_blank" w:history="1">
              <w:r w:rsidRPr="009C330D">
                <w:rPr>
                  <w:rFonts w:ascii="Arial" w:eastAsia="Times New Roman" w:hAnsi="Arial" w:cs="Arial"/>
                  <w:color w:val="2222CC"/>
                  <w:sz w:val="18"/>
                  <w:szCs w:val="18"/>
                  <w:u w:val="single"/>
                  <w:lang w:eastAsia="ru-RU"/>
                </w:rPr>
                <w:t>[3]</w:t>
              </w:r>
            </w:hyperlink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8,9%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цена реализации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1 884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(1,7%)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1 756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5,5%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1 805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(6,0%)</w:t>
            </w:r>
          </w:p>
        </w:tc>
      </w:tr>
      <w:tr w:rsidR="009C330D" w:rsidRPr="009C330D" w:rsidTr="009C330D">
        <w:tc>
          <w:tcPr>
            <w:tcW w:w="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Цена глинозема за тонну</w:t>
            </w:r>
            <w:hyperlink r:id="rId7" w:anchor="44be308019b13663mailruanchor__ftn4" w:tgtFrame="_blank" w:history="1">
              <w:r w:rsidRPr="009C330D">
                <w:rPr>
                  <w:rFonts w:ascii="Arial" w:eastAsia="Times New Roman" w:hAnsi="Arial" w:cs="Arial"/>
                  <w:color w:val="2222CC"/>
                  <w:sz w:val="18"/>
                  <w:szCs w:val="18"/>
                  <w:u w:val="single"/>
                  <w:lang w:eastAsia="ru-RU"/>
                </w:rPr>
                <w:t>[4]</w:t>
              </w:r>
            </w:hyperlink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(4,1%)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5,3%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(18,4%)</w:t>
            </w:r>
          </w:p>
        </w:tc>
      </w:tr>
      <w:tr w:rsidR="009C330D" w:rsidRPr="009C330D" w:rsidTr="009C330D">
        <w:tc>
          <w:tcPr>
            <w:tcW w:w="163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708"/>
        <w:gridCol w:w="708"/>
        <w:gridCol w:w="922"/>
        <w:gridCol w:w="2262"/>
        <w:gridCol w:w="922"/>
        <w:gridCol w:w="570"/>
        <w:gridCol w:w="729"/>
        <w:gridCol w:w="1010"/>
      </w:tblGrid>
      <w:tr w:rsidR="009C330D" w:rsidRPr="009C330D" w:rsidTr="009C330D">
        <w:trPr>
          <w:trHeight w:val="599"/>
        </w:trPr>
        <w:tc>
          <w:tcPr>
            <w:tcW w:w="5000" w:type="pct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Основные данные из консолидированного отчета о прибылях и убытках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Шесть месяцев,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(2П/2П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),%</w:t>
            </w:r>
            <w:proofErr w:type="gram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Шесть 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месяцев,   </w:t>
            </w:r>
            <w:proofErr w:type="gramEnd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июня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(2П/1П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),%</w:t>
            </w:r>
            <w:proofErr w:type="gramEnd"/>
          </w:p>
        </w:tc>
        <w:tc>
          <w:tcPr>
            <w:tcW w:w="8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Изменение, 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 к году, %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(млн долл. США)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4 551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4 975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(8,5%)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4 015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9 711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(11,8%)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Скорректированная EBITDA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438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197,7%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(9,8%)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маржа (% от выручки)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8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5,5%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10,2%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Прибыль/(убыток) за период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335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163,6%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(124)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(20,9%)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маржа (% от выручки)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6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,7%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(3,1%)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Скорректированная чистая прибыль(убыток) ль за период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(172)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(63)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(270)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маржа (% от выручки)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3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,5%)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(1,6%)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(2,8%)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Нормализованная чистая прибыль/(убыток) за период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1 066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607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75,6%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(76)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(22,2%)</w:t>
            </w:r>
          </w:p>
        </w:tc>
      </w:tr>
      <w:tr w:rsidR="009C330D" w:rsidRPr="009C330D" w:rsidTr="009C330D"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маржа (% от выручки)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12,2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(1,9%)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13,1%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данные из консолидированного отчета о финансовом положении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1623"/>
        <w:gridCol w:w="1336"/>
        <w:gridCol w:w="2099"/>
      </w:tblGrid>
      <w:tr w:rsidR="009C330D" w:rsidRPr="009C330D" w:rsidTr="009C330D">
        <w:tc>
          <w:tcPr>
            <w:tcW w:w="2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Изменение,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 к году, %</w:t>
            </w:r>
          </w:p>
        </w:tc>
      </w:tr>
      <w:tr w:rsidR="009C330D" w:rsidRPr="009C330D" w:rsidTr="009C330D">
        <w:trPr>
          <w:trHeight w:val="490"/>
        </w:trPr>
        <w:tc>
          <w:tcPr>
            <w:tcW w:w="2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декабря 2020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 декабря 2019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2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(млн долл. США)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2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378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17 814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%)</w:t>
            </w:r>
          </w:p>
        </w:tc>
      </w:tr>
      <w:tr w:rsidR="009C330D" w:rsidRPr="009C330D" w:rsidTr="009C330D">
        <w:tc>
          <w:tcPr>
            <w:tcW w:w="2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Оборотный капитал</w:t>
            </w:r>
            <w:hyperlink r:id="rId8" w:anchor="58e36101531f2458mailruanchor__ftn5" w:tgtFrame="_blank" w:history="1">
              <w:r w:rsidRPr="009C330D">
                <w:rPr>
                  <w:rFonts w:ascii="Arial" w:eastAsia="Times New Roman" w:hAnsi="Arial" w:cs="Arial"/>
                  <w:color w:val="2222CC"/>
                  <w:sz w:val="20"/>
                  <w:szCs w:val="20"/>
                  <w:u w:val="single"/>
                  <w:lang w:eastAsia="ru-RU"/>
                </w:rPr>
                <w:t>[5]</w:t>
              </w:r>
            </w:hyperlink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1 6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2 041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(20,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%)</w:t>
            </w:r>
          </w:p>
        </w:tc>
      </w:tr>
      <w:tr w:rsidR="009C330D" w:rsidRPr="009C330D" w:rsidTr="009C330D">
        <w:tc>
          <w:tcPr>
            <w:tcW w:w="2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Чистый долг</w:t>
            </w:r>
            <w:hyperlink r:id="rId9" w:anchor="acc314ff000e0169mailruanchor__ftn6" w:tgtFrame="_blank" w:history="1">
              <w:r w:rsidRPr="009C330D">
                <w:rPr>
                  <w:rFonts w:ascii="Arial" w:eastAsia="Times New Roman" w:hAnsi="Arial" w:cs="Arial"/>
                  <w:color w:val="2222CC"/>
                  <w:sz w:val="20"/>
                  <w:szCs w:val="20"/>
                  <w:u w:val="single"/>
                  <w:lang w:eastAsia="ru-RU"/>
                </w:rPr>
                <w:t>[6]</w:t>
              </w:r>
            </w:hyperlink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5 563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6 466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(14,0%)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данные из консолидированного отчета о движении денежных средств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17"/>
        <w:gridCol w:w="1512"/>
        <w:gridCol w:w="1607"/>
      </w:tblGrid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Год, закончившийся</w:t>
            </w:r>
          </w:p>
        </w:tc>
        <w:tc>
          <w:tcPr>
            <w:tcW w:w="8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Изменение,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к году, %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 2020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 2019</w:t>
            </w:r>
          </w:p>
        </w:tc>
        <w:tc>
          <w:tcPr>
            <w:tcW w:w="0" w:type="auto"/>
            <w:vMerge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(млн долл. США)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 поток денежных средств от операционной деятельности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(34,0%)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 поток денежных средств от инвестиционной деятельности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(48,0%)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 в том числе дивиденды, полученные от «Норильского никеля»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1 161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1 100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5,5%</w:t>
            </w:r>
          </w:p>
        </w:tc>
      </w:tr>
      <w:tr w:rsidR="009C330D" w:rsidRPr="009C330D" w:rsidTr="009C330D">
        <w:trPr>
          <w:trHeight w:val="339"/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 в том числе, капитальные затраты</w:t>
            </w:r>
            <w:hyperlink r:id="rId10" w:anchor="aa24c4fa378089c6mailruanchor__ftn7" w:tgtFrame="_blank" w:history="1">
              <w:r w:rsidRPr="009C330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2222CC"/>
                  <w:sz w:val="20"/>
                  <w:szCs w:val="20"/>
                  <w:u w:val="single"/>
                  <w:lang w:eastAsia="ru-RU"/>
                </w:rPr>
                <w:t>[7]</w:t>
              </w:r>
            </w:hyperlink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(848)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,8%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уплаченные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(465)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(553)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(15,9%)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</w:tr>
      <w:tr w:rsidR="009C330D" w:rsidRPr="009C330D" w:rsidTr="009C330D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lt std" w:eastAsia="Times New Roman" w:hAnsi="times lt std" w:cs="Arial"/>
          <w:b/>
          <w:bCs/>
          <w:color w:val="000000"/>
          <w:u w:val="single"/>
          <w:lang w:eastAsia="ru-RU"/>
        </w:rPr>
        <w:t>Тенденции</w:t>
      </w:r>
      <w:r w:rsidRPr="009C330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 </w:t>
      </w:r>
      <w:r w:rsidRPr="009C330D">
        <w:rPr>
          <w:rFonts w:ascii="times lt std" w:eastAsia="Times New Roman" w:hAnsi="times lt std" w:cs="Arial"/>
          <w:b/>
          <w:bCs/>
          <w:color w:val="000000"/>
          <w:u w:val="single"/>
          <w:lang w:eastAsia="ru-RU"/>
        </w:rPr>
        <w:t>развития</w:t>
      </w:r>
      <w:r w:rsidRPr="009C330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 </w:t>
      </w:r>
      <w:r w:rsidRPr="009C330D">
        <w:rPr>
          <w:rFonts w:ascii="times lt std" w:eastAsia="Times New Roman" w:hAnsi="times lt std" w:cs="Arial"/>
          <w:b/>
          <w:bCs/>
          <w:color w:val="000000"/>
          <w:u w:val="single"/>
          <w:lang w:eastAsia="ru-RU"/>
        </w:rPr>
        <w:t>мировой</w:t>
      </w:r>
      <w:r w:rsidRPr="009C330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 </w:t>
      </w:r>
      <w:r w:rsidRPr="009C330D">
        <w:rPr>
          <w:rFonts w:ascii="times lt std" w:eastAsia="Times New Roman" w:hAnsi="times lt std" w:cs="Arial"/>
          <w:b/>
          <w:bCs/>
          <w:color w:val="000000"/>
          <w:u w:val="single"/>
          <w:lang w:eastAsia="ru-RU"/>
        </w:rPr>
        <w:t>алюминиевой</w:t>
      </w:r>
      <w:r w:rsidRPr="009C330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 </w:t>
      </w:r>
      <w:r w:rsidRPr="009C330D">
        <w:rPr>
          <w:rFonts w:ascii="times lt std" w:eastAsia="Times New Roman" w:hAnsi="times lt std" w:cs="Arial"/>
          <w:b/>
          <w:bCs/>
          <w:color w:val="000000"/>
          <w:u w:val="single"/>
          <w:lang w:eastAsia="ru-RU"/>
        </w:rPr>
        <w:t>отрасли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lastRenderedPageBreak/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восстановление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мирового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продолжилось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несмотря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новую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волну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пандемии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деловой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активности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показал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что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странах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развитой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экономикой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еще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расширяется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Глобальный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деловой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активности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производителей</w:t>
      </w:r>
      <w:r w:rsidRPr="009C330D">
        <w:rPr>
          <w:rFonts w:ascii="Arial" w:eastAsia="Times New Roman" w:hAnsi="Arial" w:cs="Arial"/>
          <w:color w:val="000000"/>
          <w:lang w:eastAsia="ru-RU"/>
        </w:rPr>
        <w:t> (PMI)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остался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уровне</w:t>
      </w:r>
      <w:r w:rsidRPr="009C330D">
        <w:rPr>
          <w:rFonts w:ascii="Arial" w:eastAsia="Times New Roman" w:hAnsi="Arial" w:cs="Arial"/>
          <w:color w:val="000000"/>
          <w:lang w:eastAsia="ru-RU"/>
        </w:rPr>
        <w:t> 53,8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без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изменений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предыдущим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месяцем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Между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ослабление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доллара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высокие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показатели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позитивные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новости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разработке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вакцины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против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Arial" w:eastAsia="Times New Roman" w:hAnsi="Arial" w:cs="Arial"/>
          <w:color w:val="000000"/>
          <w:lang w:val="en-US" w:eastAsia="ru-RU"/>
        </w:rPr>
        <w:t>COVID</w:t>
      </w:r>
      <w:r w:rsidRPr="009C330D">
        <w:rPr>
          <w:rFonts w:ascii="Arial" w:eastAsia="Times New Roman" w:hAnsi="Arial" w:cs="Arial"/>
          <w:color w:val="000000"/>
          <w:lang w:eastAsia="ru-RU"/>
        </w:rPr>
        <w:t>-19 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ожидание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пакета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мер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стимулирования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экономики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США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продолжили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поддерживать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сырье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сохранялась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выше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уровня</w:t>
      </w:r>
      <w:r w:rsidRPr="009C330D">
        <w:rPr>
          <w:rFonts w:ascii="Arial" w:eastAsia="Times New Roman" w:hAnsi="Arial" w:cs="Arial"/>
          <w:color w:val="000000"/>
          <w:lang w:eastAsia="ru-RU"/>
        </w:rPr>
        <w:t> 2000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долл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США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тонну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итоге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мировой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снизился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1,7%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прошлым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63,9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немного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отыграв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позиции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2,6%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месяцев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Совокупный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без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учета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сократился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8,9%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26,0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Однако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компенсировал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постоянным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устойчивым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спросом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который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3,9%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37,9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потребление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Европе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упало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9,2%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8,3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что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является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следствием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значительного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заключенных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контрактов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половине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ослабления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ограничений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связанных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C</w:t>
      </w:r>
      <w:r w:rsidRPr="009C330D">
        <w:rPr>
          <w:rFonts w:ascii="Arial" w:eastAsia="Times New Roman" w:hAnsi="Arial" w:cs="Arial"/>
          <w:color w:val="000000"/>
          <w:lang w:val="en-US" w:eastAsia="ru-RU"/>
        </w:rPr>
        <w:t>OVID</w:t>
      </w:r>
      <w:r w:rsidRPr="009C330D">
        <w:rPr>
          <w:rFonts w:ascii="Arial" w:eastAsia="Times New Roman" w:hAnsi="Arial" w:cs="Arial"/>
          <w:color w:val="000000"/>
          <w:lang w:eastAsia="ru-RU"/>
        </w:rPr>
        <w:t>-19, 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начале</w:t>
      </w:r>
      <w:r w:rsidRPr="009C330D">
        <w:rPr>
          <w:rFonts w:ascii="Arial" w:eastAsia="Times New Roman" w:hAnsi="Arial" w:cs="Arial"/>
          <w:color w:val="000000"/>
          <w:lang w:eastAsia="ru-RU"/>
        </w:rPr>
        <w:t> 3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Еврозоны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расти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впервые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18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месяцев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пор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стабильно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оставался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выше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отметки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50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пунктов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ускорил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темпы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Основным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движущим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фактором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восстановление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промышленности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Германии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где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сентября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фиксируются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высокий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уровень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новых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заказов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Такая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тенденция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характерна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для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автомобильного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страны</w:t>
      </w:r>
      <w:r w:rsidRPr="009C330D">
        <w:rPr>
          <w:rFonts w:ascii="Arial" w:eastAsia="Times New Roman" w:hAnsi="Arial" w:cs="Arial"/>
          <w:color w:val="000000"/>
          <w:lang w:eastAsia="ru-RU"/>
        </w:rPr>
        <w:t>: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несмотря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падение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показателей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почти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25%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, 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2%.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Промышленность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Турции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также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быстро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восстанавливается</w:t>
      </w:r>
      <w:r w:rsidRPr="009C330D">
        <w:rPr>
          <w:rFonts w:ascii="Arial" w:eastAsia="Times New Roman" w:hAnsi="Arial" w:cs="Arial"/>
          <w:color w:val="000000"/>
          <w:lang w:eastAsia="ru-RU"/>
        </w:rPr>
        <w:t>, 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завершился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семью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последовательными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месяцами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индекса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6%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полугодии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же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периодом</w:t>
      </w:r>
      <w:r w:rsidRPr="009C330D">
        <w:rPr>
          <w:rFonts w:ascii="Arial" w:eastAsia="Times New Roman" w:hAnsi="Arial" w:cs="Arial"/>
          <w:color w:val="000000"/>
          <w:lang w:eastAsia="ru-RU"/>
        </w:rPr>
        <w:t> 2019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строительной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отрасли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шло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гораздо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более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медленными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темпами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полугодии</w:t>
      </w:r>
      <w:r w:rsidRPr="009C330D">
        <w:rPr>
          <w:rFonts w:ascii="Arial" w:eastAsia="Times New Roman" w:hAnsi="Arial" w:cs="Arial"/>
          <w:color w:val="000000"/>
          <w:lang w:eastAsia="ru-RU"/>
        </w:rPr>
        <w:t> (</w:t>
      </w:r>
      <w:r w:rsidRPr="009C330D">
        <w:rPr>
          <w:rFonts w:ascii="Calibri" w:eastAsia="Times New Roman" w:hAnsi="Calibri" w:cs="Calibri"/>
          <w:color w:val="000000"/>
          <w:lang w:eastAsia="ru-RU"/>
        </w:rPr>
        <w:t>что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демонстрирует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строительной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отрасли</w:t>
      </w:r>
      <w:r w:rsidRPr="009C330D">
        <w:rPr>
          <w:rFonts w:ascii="Arial" w:eastAsia="Times New Roman" w:hAnsi="Arial" w:cs="Arial"/>
          <w:color w:val="000000"/>
          <w:lang w:eastAsia="ru-RU"/>
        </w:rPr>
        <w:t> 27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ЕС</w:t>
      </w:r>
      <w:r w:rsidRPr="009C330D">
        <w:rPr>
          <w:rFonts w:ascii="Arial" w:eastAsia="Times New Roman" w:hAnsi="Arial" w:cs="Arial"/>
          <w:color w:val="000000"/>
          <w:lang w:eastAsia="ru-RU"/>
        </w:rPr>
        <w:t>).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Наконец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недавнее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объявление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пакета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мер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стимулирования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экономики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ЕС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заключение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торговой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сделки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Brexit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планы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массовой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вакцинации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позитивными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новостями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для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производителей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текущим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оценкам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Северной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Южной</w:t>
      </w:r>
      <w:r w:rsidRPr="009C330D">
        <w:rPr>
          <w:rFonts w:ascii="Arial" w:eastAsia="Times New Roman" w:hAnsi="Arial" w:cs="Arial"/>
          <w:color w:val="000000"/>
          <w:lang w:eastAsia="ru-RU"/>
        </w:rPr>
        <w:t> /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Центральной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Америке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упал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9,0% </w:t>
      </w:r>
      <w:r w:rsidRPr="009C330D">
        <w:rPr>
          <w:rFonts w:ascii="Calibri" w:eastAsia="Times New Roman" w:hAnsi="Calibri" w:cs="Calibri"/>
          <w:b/>
          <w:bCs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5,8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9,4%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1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соответственно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США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демонстрировал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высокие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показатели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протяжении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полугодия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что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свидетельствовало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восстановлении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активности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рынке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несмотря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значительное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число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случаев</w:t>
      </w:r>
      <w:r w:rsidRPr="009C330D">
        <w:rPr>
          <w:rFonts w:ascii="Arial" w:eastAsia="Times New Roman" w:hAnsi="Arial" w:cs="Arial"/>
          <w:color w:val="000000"/>
          <w:lang w:eastAsia="ru-RU"/>
        </w:rPr>
        <w:t> COVID-19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стране</w:t>
      </w:r>
      <w:r w:rsidRPr="009C330D">
        <w:rPr>
          <w:rFonts w:ascii="Arial" w:eastAsia="Times New Roman" w:hAnsi="Arial" w:cs="Arial"/>
          <w:color w:val="000000"/>
          <w:lang w:eastAsia="ru-RU"/>
        </w:rPr>
        <w:t>: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57,1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59,1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январе</w:t>
      </w:r>
      <w:r w:rsidRPr="009C330D">
        <w:rPr>
          <w:rFonts w:ascii="Arial" w:eastAsia="Times New Roman" w:hAnsi="Arial" w:cs="Arial"/>
          <w:color w:val="000000"/>
          <w:lang w:eastAsia="ru-RU"/>
        </w:rPr>
        <w:t> 2021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Восстановлению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способствовали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высокие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результаты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строительного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жилищного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строительства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должны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превысить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уровень</w:t>
      </w:r>
      <w:r w:rsidRPr="009C330D">
        <w:rPr>
          <w:rFonts w:ascii="Arial" w:eastAsia="Times New Roman" w:hAnsi="Arial" w:cs="Arial"/>
          <w:color w:val="000000"/>
          <w:lang w:eastAsia="ru-RU"/>
        </w:rPr>
        <w:t> 2019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благодаря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стабильному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деловой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активности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течение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полугодия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восстановление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автомобильного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трудом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набирало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темпы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как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ожидается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итогам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целом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снизится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&gt;20%,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несмотря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некоторые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позитивные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проблески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3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Между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Мексике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продолжал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снижаться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течение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полугодия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сил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боролась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низкими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объёмами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сокращением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заказов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рабочих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мест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Несмотря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вышеперечисленное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полугодии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поддерживался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положительными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показателями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автопрома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октября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декабрь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целом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сократилось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20%.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Южной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Америке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высокие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результаты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показала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Бр</w:t>
      </w:r>
      <w:r w:rsidRPr="009C330D">
        <w:rPr>
          <w:rFonts w:ascii="Calibri" w:eastAsia="Times New Roman" w:hAnsi="Calibri" w:cs="Calibri"/>
          <w:color w:val="000000"/>
          <w:lang w:eastAsia="ru-RU"/>
        </w:rPr>
        <w:lastRenderedPageBreak/>
        <w:t>азилия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последнем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причём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октябре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достиг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рекордного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максимума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66,7,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практически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соответствовало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прошлого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азиатском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регионе</w:t>
      </w:r>
      <w:r w:rsidRPr="009C330D">
        <w:rPr>
          <w:rFonts w:ascii="Arial" w:eastAsia="Times New Roman" w:hAnsi="Arial" w:cs="Arial"/>
          <w:color w:val="000000"/>
          <w:lang w:eastAsia="ru-RU"/>
        </w:rPr>
        <w:t> (</w:t>
      </w:r>
      <w:r w:rsidRPr="009C330D">
        <w:rPr>
          <w:rFonts w:ascii="Calibri" w:eastAsia="Times New Roman" w:hAnsi="Calibri" w:cs="Calibri"/>
          <w:color w:val="000000"/>
          <w:lang w:eastAsia="ru-RU"/>
        </w:rPr>
        <w:t>без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учета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)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упал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9,3% </w:t>
      </w:r>
      <w:r w:rsidRPr="009C330D">
        <w:rPr>
          <w:rFonts w:ascii="Calibri" w:eastAsia="Times New Roman" w:hAnsi="Calibri" w:cs="Calibri"/>
          <w:b/>
          <w:bCs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5,5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АСЕАН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Япония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зафиксировали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наибольшее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сокращение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каждом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случае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стабилизировался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медленно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оставался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ниже</w:t>
      </w:r>
      <w:r w:rsidRPr="009C330D">
        <w:rPr>
          <w:rFonts w:ascii="Arial" w:eastAsia="Times New Roman" w:hAnsi="Arial" w:cs="Arial"/>
          <w:color w:val="000000"/>
          <w:lang w:eastAsia="ru-RU"/>
        </w:rPr>
        <w:t> 50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пунктов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ноября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соответственно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Автомобильные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отрасли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этих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существенно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пострадали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странах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АСЕАН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темпы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постепенно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замедлялись</w:t>
      </w:r>
      <w:r w:rsidRPr="009C330D">
        <w:rPr>
          <w:rFonts w:ascii="Arial" w:eastAsia="Times New Roman" w:hAnsi="Arial" w:cs="Arial"/>
          <w:color w:val="000000"/>
          <w:lang w:eastAsia="ru-RU"/>
        </w:rPr>
        <w:t> (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падения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49%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7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месяцев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16%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10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месяцев</w:t>
      </w:r>
      <w:r w:rsidRPr="009C330D">
        <w:rPr>
          <w:rFonts w:ascii="Arial" w:eastAsia="Times New Roman" w:hAnsi="Arial" w:cs="Arial"/>
          <w:color w:val="000000"/>
          <w:lang w:eastAsia="ru-RU"/>
        </w:rPr>
        <w:t>),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автопром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Японии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закончил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совокупным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сокращением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более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чем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15%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Существенное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сокращение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произошло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также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Индии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автомобильное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упало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гораздо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ниже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уровня</w:t>
      </w:r>
      <w:r w:rsidRPr="009C330D">
        <w:rPr>
          <w:rFonts w:ascii="Arial" w:eastAsia="Times New Roman" w:hAnsi="Arial" w:cs="Arial"/>
          <w:color w:val="000000"/>
          <w:lang w:eastAsia="ru-RU"/>
        </w:rPr>
        <w:t> 2019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хотя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наблюдался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определенный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последние</w:t>
      </w:r>
      <w:r w:rsidRPr="009C330D">
        <w:rPr>
          <w:rFonts w:ascii="Arial" w:eastAsia="Times New Roman" w:hAnsi="Arial" w:cs="Arial"/>
          <w:color w:val="000000"/>
          <w:lang w:eastAsia="ru-RU"/>
        </w:rPr>
        <w:t> 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Южной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Корее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падение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было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слишком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резким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начал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постепенно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восстанавливаться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  <w:r w:rsidRPr="009C330D">
        <w:rPr>
          <w:rFonts w:ascii="Arial Unicode MS" w:eastAsia="Times New Roman" w:hAnsi="Arial Unicode MS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Потребление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России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снизилось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4,2% </w:t>
      </w:r>
      <w:r w:rsidRPr="009C330D">
        <w:rPr>
          <w:rFonts w:ascii="Calibri" w:eastAsia="Times New Roman" w:hAnsi="Calibri" w:cs="Calibri"/>
          <w:b/>
          <w:bCs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0,84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хотя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второй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половине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наметились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определенные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улучшения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ключевых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сегментах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конечного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потребления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строительном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указывают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показатели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жилищного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строительства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которые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стабильно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августа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ноябрю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превысили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прошлогодний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уровень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же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время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несмотря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слабый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август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автомобильная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промышленность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демонстрировала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сентября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ноябрь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ежемесячный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продаж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Однако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сектора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начиная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сентября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менее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позитивный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результат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уровень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новых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заказов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неуклонно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снижались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последние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сокращение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потребления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можно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объяснить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слабым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внутренним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спросом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экспортные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продажи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растут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уже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три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месяца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подряд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Согласно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официальным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данным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экономика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росла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самыми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быстрыми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темпами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последние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ВВП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6,5%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показателем</w:t>
      </w:r>
      <w:r w:rsidRPr="009C330D">
        <w:rPr>
          <w:rFonts w:ascii="Arial" w:eastAsia="Times New Roman" w:hAnsi="Arial" w:cs="Arial"/>
          <w:color w:val="000000"/>
          <w:lang w:eastAsia="ru-RU"/>
        </w:rPr>
        <w:t> 3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квартала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4,9%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Промышленное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выросло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7,0%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7,3%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2019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годом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краткосрочной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перспективе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рынок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внушает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оптимизм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учетом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постоянного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потребительского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спроса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инвестиций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инфраструктуру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недвижимость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выдачи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новых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банковских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кредитов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достиг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рекордного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благодаря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гибкой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политике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Центробанка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время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пандемии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коронавируса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составил</w:t>
      </w:r>
      <w:r w:rsidRPr="009C330D">
        <w:rPr>
          <w:rFonts w:ascii="Arial" w:eastAsia="Times New Roman" w:hAnsi="Arial" w:cs="Arial"/>
          <w:color w:val="000000"/>
          <w:lang w:eastAsia="ru-RU"/>
        </w:rPr>
        <w:t> 16,8%,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увеличившись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16,81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триллиона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юаней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рекордных</w:t>
      </w:r>
      <w:r w:rsidRPr="009C330D">
        <w:rPr>
          <w:rFonts w:ascii="Arial" w:eastAsia="Times New Roman" w:hAnsi="Arial" w:cs="Arial"/>
          <w:color w:val="000000"/>
          <w:lang w:eastAsia="ru-RU"/>
        </w:rPr>
        <w:t> 19,63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триллиона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юаней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Последние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оценки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показывают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что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активность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оставалась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высокой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Индекс</w:t>
      </w:r>
      <w:r w:rsidRPr="009C330D">
        <w:rPr>
          <w:rFonts w:ascii="Arial" w:eastAsia="Times New Roman" w:hAnsi="Arial" w:cs="Arial"/>
          <w:color w:val="000000"/>
          <w:lang w:eastAsia="ru-RU"/>
        </w:rPr>
        <w:t> PMI Caixin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упал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десятилетнего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максимума</w:t>
      </w:r>
      <w:r w:rsidRPr="009C330D">
        <w:rPr>
          <w:rFonts w:ascii="Arial" w:eastAsia="Times New Roman" w:hAnsi="Arial" w:cs="Arial"/>
          <w:color w:val="000000"/>
          <w:lang w:eastAsia="ru-RU"/>
        </w:rPr>
        <w:t> 54,9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ноябре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53,0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декабре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Предложение алюминия, запасы и премии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Мировой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вырос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2,3%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65,3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остальном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мире</w:t>
      </w:r>
      <w:r w:rsidRPr="009C330D">
        <w:rPr>
          <w:rFonts w:ascii="Arial" w:eastAsia="Times New Roman" w:hAnsi="Arial" w:cs="Arial"/>
          <w:color w:val="000000"/>
          <w:lang w:eastAsia="ru-RU"/>
        </w:rPr>
        <w:t> (</w:t>
      </w:r>
      <w:r w:rsidRPr="009C330D">
        <w:rPr>
          <w:rFonts w:ascii="Calibri" w:eastAsia="Times New Roman" w:hAnsi="Calibri" w:cs="Calibri"/>
          <w:color w:val="000000"/>
          <w:lang w:eastAsia="ru-RU"/>
        </w:rPr>
        <w:t>без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учета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)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увеличилось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0,2%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прошлым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28,0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тогда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как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рост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составил</w:t>
      </w:r>
      <w:r w:rsidRPr="009C330D">
        <w:rPr>
          <w:rFonts w:ascii="Arial" w:eastAsia="Times New Roman" w:hAnsi="Arial" w:cs="Arial"/>
          <w:color w:val="000000"/>
          <w:lang w:eastAsia="ru-RU"/>
        </w:rPr>
        <w:t> 3,9%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сравнению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прош</w:t>
      </w:r>
      <w:r w:rsidRPr="009C330D">
        <w:rPr>
          <w:rFonts w:ascii="Calibri" w:eastAsia="Times New Roman" w:hAnsi="Calibri" w:cs="Calibri"/>
          <w:color w:val="000000"/>
          <w:lang w:eastAsia="ru-RU"/>
        </w:rPr>
        <w:lastRenderedPageBreak/>
        <w:t>лым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37,2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целом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мировом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рынке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зафиксирован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профицит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1,4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  <w:r w:rsidRPr="009C330D">
        <w:rPr>
          <w:rFonts w:ascii="Arial Unicode MS" w:eastAsia="Times New Roman" w:hAnsi="Arial Unicode MS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Объем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производственных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мощностей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превысил</w:t>
      </w:r>
      <w:r w:rsidRPr="009C330D">
        <w:rPr>
          <w:rFonts w:ascii="Arial" w:eastAsia="Times New Roman" w:hAnsi="Arial" w:cs="Arial"/>
          <w:color w:val="000000"/>
          <w:lang w:eastAsia="ru-RU"/>
        </w:rPr>
        <w:t> 38,7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Экспорт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необработанного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алюминия</w:t>
      </w:r>
      <w:r w:rsidRPr="009C330D">
        <w:rPr>
          <w:rFonts w:ascii="Arial" w:eastAsia="Times New Roman" w:hAnsi="Arial" w:cs="Arial"/>
          <w:color w:val="000000"/>
          <w:lang w:eastAsia="ru-RU"/>
        </w:rPr>
        <w:t>/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сплавов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изделий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снизился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15,2%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годовом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выражении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4,84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импорта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необработанного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составил</w:t>
      </w:r>
      <w:r w:rsidRPr="009C330D">
        <w:rPr>
          <w:rFonts w:ascii="Arial" w:eastAsia="Times New Roman" w:hAnsi="Arial" w:cs="Arial"/>
          <w:color w:val="000000"/>
          <w:lang w:eastAsia="ru-RU"/>
        </w:rPr>
        <w:t> ~1,06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против</w:t>
      </w:r>
      <w:r w:rsidRPr="009C330D">
        <w:rPr>
          <w:rFonts w:ascii="Arial" w:eastAsia="Times New Roman" w:hAnsi="Arial" w:cs="Arial"/>
          <w:color w:val="000000"/>
          <w:lang w:eastAsia="ru-RU"/>
        </w:rPr>
        <w:t> 75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тыс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Это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вызвано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существенным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отрицательным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арбитражем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экспортной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цены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снижением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спроса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пределами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причине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пандемии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Таким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образом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становится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важным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балансирующим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рынком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для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всей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отрасли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потребляя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избыточные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объемы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производства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из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других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стран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мира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году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запасы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алюминия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складах</w:t>
      </w:r>
      <w:r w:rsidRPr="009C330D">
        <w:rPr>
          <w:rFonts w:ascii="Arial" w:eastAsia="Times New Roman" w:hAnsi="Arial" w:cs="Arial"/>
          <w:color w:val="000000"/>
          <w:lang w:eastAsia="ru-RU"/>
        </w:rPr>
        <w:t> LME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снизились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~133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тыс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1,34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Текущие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варранты</w:t>
      </w:r>
      <w:r w:rsidRPr="009C330D">
        <w:rPr>
          <w:rFonts w:ascii="Arial" w:eastAsia="Times New Roman" w:hAnsi="Arial" w:cs="Arial"/>
          <w:color w:val="000000"/>
          <w:lang w:eastAsia="ru-RU"/>
        </w:rPr>
        <w:t> LME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выросли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уровня</w:t>
      </w:r>
      <w:r w:rsidRPr="009C330D">
        <w:rPr>
          <w:rFonts w:ascii="Arial" w:eastAsia="Times New Roman" w:hAnsi="Arial" w:cs="Arial"/>
          <w:color w:val="000000"/>
          <w:lang w:eastAsia="ru-RU"/>
        </w:rPr>
        <w:t> 1,19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период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апреля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декабрь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продолжилось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резкое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сокращение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объёмов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региональных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запасов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которые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упали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1,06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до</w:t>
      </w:r>
      <w:r w:rsidRPr="009C330D">
        <w:rPr>
          <w:rFonts w:ascii="Arial" w:eastAsia="Times New Roman" w:hAnsi="Arial" w:cs="Arial"/>
          <w:color w:val="000000"/>
          <w:lang w:eastAsia="ru-RU"/>
        </w:rPr>
        <w:t> 0,61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рекордного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1,68 </w:t>
      </w:r>
      <w:r w:rsidRPr="009C330D">
        <w:rPr>
          <w:rFonts w:ascii="Calibri" w:eastAsia="Times New Roman" w:hAnsi="Calibri" w:cs="Calibri"/>
          <w:color w:val="000000"/>
          <w:lang w:eastAsia="ru-RU"/>
        </w:rPr>
        <w:t>млн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, </w:t>
      </w:r>
      <w:r w:rsidRPr="009C330D">
        <w:rPr>
          <w:rFonts w:ascii="Calibri" w:eastAsia="Times New Roman" w:hAnsi="Calibri" w:cs="Calibri"/>
          <w:color w:val="000000"/>
          <w:lang w:eastAsia="ru-RU"/>
        </w:rPr>
        <w:t>отмеченного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в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начале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апреля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Региональные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запасы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Китая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концу</w:t>
      </w:r>
      <w:r w:rsidRPr="009C330D">
        <w:rPr>
          <w:rFonts w:ascii="Arial" w:eastAsia="Times New Roman" w:hAnsi="Arial" w:cs="Arial"/>
          <w:color w:val="000000"/>
          <w:lang w:eastAsia="ru-RU"/>
        </w:rPr>
        <w:t> 2020 </w:t>
      </w:r>
      <w:r w:rsidRPr="009C330D">
        <w:rPr>
          <w:rFonts w:ascii="Calibri" w:eastAsia="Times New Roman" w:hAnsi="Calibri" w:cs="Calibri"/>
          <w:color w:val="000000"/>
          <w:lang w:eastAsia="ru-RU"/>
        </w:rPr>
        <w:t>года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сохранят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свой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сезонно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низкий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уровень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на</w:t>
      </w:r>
      <w:r w:rsidRPr="009C330D">
        <w:rPr>
          <w:rFonts w:ascii="Arial" w:eastAsia="Times New Roman" w:hAnsi="Arial" w:cs="Arial"/>
          <w:color w:val="000000"/>
          <w:lang w:eastAsia="ru-RU"/>
        </w:rPr>
        <w:t> </w:t>
      </w:r>
      <w:r w:rsidRPr="009C330D">
        <w:rPr>
          <w:rFonts w:ascii="Calibri" w:eastAsia="Times New Roman" w:hAnsi="Calibri" w:cs="Calibri"/>
          <w:color w:val="000000"/>
          <w:lang w:eastAsia="ru-RU"/>
        </w:rPr>
        <w:t>уровне</w:t>
      </w:r>
      <w:r w:rsidRPr="009C330D">
        <w:rPr>
          <w:rFonts w:ascii="Arial" w:eastAsia="Times New Roman" w:hAnsi="Arial" w:cs="Arial"/>
          <w:color w:val="000000"/>
          <w:lang w:eastAsia="ru-RU"/>
        </w:rPr>
        <w:t> 682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тыс</w:t>
      </w:r>
      <w:r w:rsidRPr="009C330D">
        <w:rPr>
          <w:rFonts w:ascii="Arial" w:eastAsia="Times New Roman" w:hAnsi="Arial" w:cs="Arial"/>
          <w:color w:val="000000"/>
          <w:lang w:eastAsia="ru-RU"/>
        </w:rPr>
        <w:t>. </w:t>
      </w:r>
      <w:r w:rsidRPr="009C330D">
        <w:rPr>
          <w:rFonts w:ascii="Calibri" w:eastAsia="Times New Roman" w:hAnsi="Calibri" w:cs="Calibri"/>
          <w:color w:val="000000"/>
          <w:lang w:eastAsia="ru-RU"/>
        </w:rPr>
        <w:t>тонн</w:t>
      </w:r>
      <w:r w:rsidRPr="009C330D">
        <w:rPr>
          <w:rFonts w:ascii="Arial" w:eastAsia="Times New Roman" w:hAnsi="Arial" w:cs="Arial"/>
          <w:color w:val="000000"/>
          <w:lang w:eastAsia="ru-RU"/>
        </w:rPr>
        <w:t>.</w:t>
      </w:r>
      <w:r w:rsidRPr="009C330D">
        <w:rPr>
          <w:rFonts w:ascii="Arial Unicode MS" w:eastAsia="Times New Roman" w:hAnsi="Arial Unicode MS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концу 2020 года премии на алюминий выросли в США, Европе и Азии выше уровней, наблюдаемых до пандемии, при этом сильные фундаментальные показатели спроса и дефицит алюминиевого лома за пределами Китая поддерживают дальнейшее увеличение спроса на первичный металл и повышение цен на продукцию с добавленной стоимостью.</w:t>
      </w:r>
    </w:p>
    <w:p w:rsidR="009C330D" w:rsidRPr="009C330D" w:rsidRDefault="009C330D" w:rsidP="009C330D">
      <w:pPr>
        <w:shd w:val="clear" w:color="auto" w:fill="FFFFFF"/>
        <w:spacing w:before="100" w:beforeAutospacing="1" w:after="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eastAsia="ru-RU"/>
        </w:rPr>
        <w:t>Обзор финансовых результатов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Выручка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133"/>
        <w:gridCol w:w="945"/>
        <w:gridCol w:w="1418"/>
        <w:gridCol w:w="1134"/>
        <w:gridCol w:w="945"/>
        <w:gridCol w:w="1418"/>
      </w:tblGrid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 2020 г.</w:t>
            </w:r>
          </w:p>
        </w:tc>
        <w:tc>
          <w:tcPr>
            <w:tcW w:w="1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 2019 г.</w:t>
            </w:r>
          </w:p>
        </w:tc>
      </w:tr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млн долл. США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Средняя цена реализации (долл. США/тонн)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млн долл. США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Средняя цена реализации (долл. США/тонн)</w:t>
            </w:r>
          </w:p>
        </w:tc>
      </w:tr>
      <w:tr w:rsidR="009C330D" w:rsidRPr="009C330D" w:rsidTr="009C330D">
        <w:trPr>
          <w:trHeight w:val="228"/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первичного алюминия и сплавов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7 088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3 926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1 805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8 019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4 176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1 920</w:t>
            </w:r>
          </w:p>
        </w:tc>
      </w:tr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глинозема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1 729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1 753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</w:p>
        </w:tc>
      </w:tr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фольги и прочей продукции из алюминия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</w:tr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выручка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</w:tr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выручка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9 711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выручка Компании сократилась на 1 145 млн долл. США, или на 11,8%, и составила 8 566 млн долл. США в 2020 году, по сравнению с 9 711 млн долл. США в 2019 году.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731"/>
        <w:gridCol w:w="731"/>
        <w:gridCol w:w="952"/>
        <w:gridCol w:w="2396"/>
        <w:gridCol w:w="952"/>
        <w:gridCol w:w="671"/>
        <w:gridCol w:w="670"/>
        <w:gridCol w:w="998"/>
      </w:tblGrid>
      <w:tr w:rsidR="009C330D" w:rsidRPr="009C330D" w:rsidTr="009C330D">
        <w:trPr>
          <w:trHeight w:val="843"/>
        </w:trPr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Шесть месяцев,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(2П/2П), 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Шесть 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месяцев,   </w:t>
            </w:r>
            <w:proofErr w:type="gramEnd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  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 июня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(2П/1П), %</w:t>
            </w:r>
          </w:p>
        </w:tc>
        <w:tc>
          <w:tcPr>
            <w:tcW w:w="8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первичного алюминия и сплавов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 млн долл. США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3 770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4 142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(9,0%)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3 318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13,6%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7 088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8 019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(11,6%)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 тыс.  тонн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2 036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2 198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(7,4%)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1 890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(6,0%)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firstLine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 Средняя цена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firstLine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  реализации (долл.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firstLine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 США/т)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1 884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(1,7%)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1 756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1 920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(6,0%)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Реализация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глинозема</w:t>
            </w:r>
            <w:proofErr w:type="spellEnd"/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178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 млн долл. США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(10,2%)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(20,2%)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(19,7%)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  тыс. тонн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(0,9%)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1 729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1 753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(1,4%)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firstLine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Средняя цена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firstLine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 реализации (долл.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firstLine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США/т)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(9,5%)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(2,2%)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(18,7%)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фольги и прочей продукции из алюминия (млн долл. США)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(1,0%)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(7,1%)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выручка (млн долл. США)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(5,6%)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(8,7%)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88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proofErr w:type="gram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выручка  (</w:t>
            </w:r>
            <w:proofErr w:type="gram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млн долл. США)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4 551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4 975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(8,5%)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4 015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13,3%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8 566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9 711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(11,8%)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9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Выручка от реализации первичного алюминия и сплавов сократилась на 931 млн долл. США, или на 11,6% – до 7 088 млн долл. США в 2020 году, по сравнению с 8 019 млн долл. США в 2019 году, в основном из-за снижения на 6,0% средневзвешенной цены реализации алюминия за тонну (в среднем до 1 805 долл. США за тонну в 2020 году, по сравнению с 1 920 долл. США за тонну в 2019 году), что обусловлено падением цены алюминия на LME (до среднего значения 1 702 долл. США за тонну в 2020 году с 1 792 долл. США за тонну в 2019 году), а также сокращением на 6,0% объемов реализации первичного алюминия и сплавов.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Выручка от продаж глинозёма снизилась на 19,7% до 533 млн долл. США за год, закончившийся 31 декабря 2020 года, по сравнению с 664 млн долл. США за год, закончившийся 31 декабря 2019 года, главным образом из-за снижения средней цены реализации на 18,7%.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Выручка от реализации фольги и прочей алюминиевой продукции снизилась на 29 млн долл. США, или на 7,1% до 381 млн долл. США за 2020 год, по сравнению с 410 млн долл. США за 2019 год, в основном из-за снижения выручки от реализации алюминиевых колесных дисков в сравниваемые периоды.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lang w:eastAsia="ru-RU"/>
        </w:rPr>
        <w:t>Прочая выручка, включая реализацию прочей продукции, бокситов и электроэнергии, сократилась на 8,7% до 564 млн долл. США за год, закончившийся 31 декабря 2020 года, по сравнению с 618 млн долл. США за предыдущий год, что обусловлено снижением на 9,4% выручки от реализации прочей продукции (например, кремния - на 39,1%, соды – на 26,3%, алюминиевых порошков – на 11,9%).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Себестоимость реализации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таблице ниже представлены данные об основных составляющих себестоимости реализации за 2020 и 2019 годы.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146"/>
        <w:gridCol w:w="1146"/>
        <w:gridCol w:w="1431"/>
        <w:gridCol w:w="1431"/>
      </w:tblGrid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закончивши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ся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3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декабря</w:t>
            </w:r>
          </w:p>
        </w:tc>
        <w:tc>
          <w:tcPr>
            <w:tcW w:w="75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Изменение, год к году, %</w:t>
            </w:r>
          </w:p>
        </w:tc>
        <w:tc>
          <w:tcPr>
            <w:tcW w:w="75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в общем объеме затрат, %  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(млн долл. США)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глинозема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(20,4%)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  бокситов</w:t>
            </w:r>
            <w:proofErr w:type="gramEnd"/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(7,5%)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прочего сырья и прочие затраты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2 298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2 515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(8,6%)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32,3%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первичного алюминия у совместных предприятий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Затраты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электроэнергию</w:t>
            </w:r>
            <w:proofErr w:type="spellEnd"/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1 868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2 054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(9,1%)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26,3%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мортизация</w:t>
            </w:r>
            <w:proofErr w:type="spellEnd"/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(1,3%)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персонал</w:t>
            </w:r>
            <w:proofErr w:type="spellEnd"/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Ремонт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техническое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обслуживание</w:t>
            </w:r>
            <w:proofErr w:type="spellEnd"/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резерва по запасам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(16)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(87,5%)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0,0%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готовой продукции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(0,1%)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2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Общая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себестоимость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7 112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8 113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(12,3%)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себестоимость реализации снизилась на 1 001 млн долл. США, или на 12,3% – до 7 112 млн долл. США в 2020 по сравнению с 8 113 млн долл. США в 2019 году. Снижение было обусловлено преимущественно падением объёмов реализации первичного алюминия на 6,0% и ослаблением курса рубля по отношению к доллару США в сопоставимых периодах.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Затраты на приобретение глинозема сократились на 156 млн долл. США, или на 20,4%, </w:t>
      </w: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– 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608 млн долл. США в 2020 году по сравнению с 764 млн долл. США в 2019 году в основном в результате снижения закупочных цен на глинозем на 12,1% между сравниваемыми периодами.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Затраты на приобретение сырья (за исключением глинозема и бокситов) и прочие расходы за год, закончившийся 31 декабря 2020 г., уменьшились на 8,6% по сравнению с прошлым годом в связи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 снижением закупочных цен (на сырой нефтяной кокс – на 25,9%, на прокаленный нефтяной кокс – на 18,4%, на пек – на 26,4%, на каустическую соду – на 17,6%).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Затраты на электроэнергию сократились на 186 млн долл. США, или на 9,1%, </w:t>
      </w: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–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 1 868 млн долл. США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 год, окончившийся 31 декабря 2020 года по сравнению с 2 054 млн долл. США за год, окончившийся 31 декабря 2019 года, в связи с ослаблением российского рубля по отношению к доллару США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снижением средних цен на электроэнергию в сравниваемых периодах.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Первичный алюминий и сплавы составляют основную часть остатков готовой продукции (порядка 94%). Динамика изменений в сравниваемых периодах обусловлена главным образом колебаниями физического объема остатков первичного алюминия и сплавов: ростом на 2,6% в 2020 году и снижением на 38,0%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2019 году.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20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Скорректированная EBITDA и результаты операционной деятельности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93"/>
        <w:gridCol w:w="1684"/>
        <w:gridCol w:w="94"/>
        <w:gridCol w:w="1497"/>
        <w:gridCol w:w="94"/>
        <w:gridCol w:w="1871"/>
      </w:tblGrid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Год, закончившийся 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декабря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Изменение, год к году, %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(млн долл. США)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скорректированной EBITDA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от операционной деятельности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220,7%</w:t>
            </w:r>
          </w:p>
        </w:tc>
      </w:tr>
      <w:tr w:rsidR="009C330D" w:rsidRPr="009C330D" w:rsidTr="009C330D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Скорректированный на: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 Амортизация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 Обесценение внеоборотных активов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(96,9%)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2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 Убыток от выбытия основных средств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(40,9%)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Скорректированная EBITDA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(9,8%)</w:t>
            </w:r>
          </w:p>
        </w:tc>
      </w:tr>
      <w:tr w:rsidR="009C330D" w:rsidRPr="009C330D" w:rsidTr="009C330D">
        <w:tc>
          <w:tcPr>
            <w:tcW w:w="21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450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9C330D" w:rsidRPr="009C330D" w:rsidRDefault="009C330D" w:rsidP="009C33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Скорректированная EBITDA, определяемая как результат операционной деятельности без учета амортизации, обесценения внеоборотных активов и убытка от выбытия основных средств, снизилась до 871 млн долл. США в 2020 году по сравнению с 966 млн долл. США годом ранее. Факторами, повлиявшими на падение маржи по скорректированной EBITDA, являются те же факторы, которые повлияли на результат операционной деятельности Компании.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Прибыль</w:t>
      </w: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за период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 из приведенных выше факторов Компания отразила чистую прибыль в размере 759 млн долл. США за 2020 год, по сравнению с 960 млн долл. США за 2019 год.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Скорректированная и нормализованная чистая прибыль/(убыток)</w:t>
      </w:r>
    </w:p>
    <w:tbl>
      <w:tblPr>
        <w:tblW w:w="49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1101"/>
        <w:gridCol w:w="1101"/>
        <w:gridCol w:w="1026"/>
        <w:gridCol w:w="2260"/>
        <w:gridCol w:w="1224"/>
        <w:gridCol w:w="761"/>
        <w:gridCol w:w="856"/>
        <w:gridCol w:w="1147"/>
      </w:tblGrid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Шесть месяцев, закончившихся</w:t>
            </w:r>
          </w:p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Измене-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</w:p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(2П/2</w:t>
            </w:r>
            <w:proofErr w:type="gram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П)%</w:t>
            </w:r>
            <w:proofErr w:type="gramEnd"/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Шесть </w:t>
            </w:r>
            <w:proofErr w:type="gram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месяцев,   </w:t>
            </w:r>
            <w:proofErr w:type="gramEnd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    закончив- </w:t>
            </w:r>
            <w:proofErr w:type="spellStart"/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шихся</w:t>
            </w:r>
            <w:proofErr w:type="spellEnd"/>
          </w:p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июня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Измене-</w:t>
            </w:r>
            <w:proofErr w:type="spellStart"/>
            <w:proofErr w:type="gram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 (</w:t>
            </w:r>
            <w:proofErr w:type="gram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2П/1П)</w:t>
            </w:r>
          </w:p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Год, закончившийся</w:t>
            </w:r>
          </w:p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Изменение, год к году, %</w:t>
            </w:r>
          </w:p>
        </w:tc>
      </w:tr>
      <w:tr w:rsidR="009C330D" w:rsidRPr="009C330D" w:rsidTr="009C330D">
        <w:trPr>
          <w:trHeight w:val="391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rPr>
          <w:trHeight w:val="497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(млн долл. США)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неаудир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5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Сверка скорректированной чистой прибыли/ (убытка)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Чистая прибыль/(убыток) за период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163,6%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(124)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(20,9%)</w:t>
            </w:r>
          </w:p>
        </w:tc>
      </w:tr>
      <w:tr w:rsidR="009C330D" w:rsidRPr="009C330D" w:rsidTr="009C330D">
        <w:trPr>
          <w:trHeight w:val="283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Скорректированная на: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ind w:left="25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 прибыли и прочих доходах и убытках, относящихся к «Норильскому никелю», за вычетом налогового эффекта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(943)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 (779)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 13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(930)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(1 543)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(39,7%)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ind w:left="25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справедливой стоимости производных финансовых обязательств, за вычетом налогов (20 %)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 225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30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 (3)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909,1%</w:t>
            </w:r>
          </w:p>
        </w:tc>
      </w:tr>
      <w:tr w:rsidR="009C330D" w:rsidRPr="009C330D" w:rsidTr="009C330D">
        <w:trPr>
          <w:trHeight w:val="195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ind w:left="25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(Восстановление обесценения)/ обесценение внеоборотных активов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 (42)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242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(96,9%)</w:t>
            </w:r>
          </w:p>
        </w:tc>
      </w:tr>
      <w:tr w:rsidR="009C330D" w:rsidRPr="009C330D" w:rsidTr="009C330D">
        <w:trPr>
          <w:trHeight w:val="195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Скорректированная чистая прибыль/(убыток)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(17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н/д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(63)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(270)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н/д</w:t>
            </w:r>
          </w:p>
        </w:tc>
      </w:tr>
      <w:tr w:rsidR="009C330D" w:rsidRPr="009C330D" w:rsidTr="009C330D">
        <w:trPr>
          <w:trHeight w:val="221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Восстановленная на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0" w:line="259" w:lineRule="atLeast"/>
              <w:ind w:left="25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Долю в прибыли «Норильского никеля» за вычетом налогов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(943)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(779)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(13)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(39,7%)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Нормализованная чистая прибыль/(убыток)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1 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75,6%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(76)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1 273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(22,2%)</w:t>
            </w:r>
          </w:p>
        </w:tc>
      </w:tr>
      <w:tr w:rsidR="009C330D" w:rsidRPr="009C330D" w:rsidTr="009C330D">
        <w:trPr>
          <w:trHeight w:val="265"/>
        </w:trPr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330D" w:rsidRPr="009C330D" w:rsidTr="009C330D">
        <w:tc>
          <w:tcPr>
            <w:tcW w:w="1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59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Скорректированная чистая прибыль/(убыток) за любой период определяется как чистая прибыль/(убыток), скорректированная с учетом чистого эффекта инвестиции Компании в ГМК «Норильский никель», чистого эффекта производных финансовых инструментов и чистого эффекта от обесценения внеоборотных активов. Нормализованная чистая прибыль/(убыток) за любой период определяется как скорректированная чистая прибыль/(убыток) плюс эффективная доля Компании в прибыли «Норильского никеля».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Отчетность по сегментам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lang w:eastAsia="ru-RU"/>
        </w:rPr>
        <w:t>В компании выделяют четыре основных сегмента, которые являются стратегическими бизнес-единицами: алюминиевый, глиноземный, энергетический и сегмент по добыче и металлам. Эти бизнес-единицы управляются независимо, результаты их работы на регулярной основе контролирует Генеральный директор Компании.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Times New Roman" w:eastAsia="Times New Roman" w:hAnsi="Times New Roman" w:cs="Times New Roman"/>
          <w:lang w:eastAsia="ru-RU"/>
        </w:rPr>
        <w:t>Основные сегменты: алюминиевый и глинозёмный.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1760"/>
        <w:gridCol w:w="1296"/>
        <w:gridCol w:w="1019"/>
        <w:gridCol w:w="1205"/>
        <w:gridCol w:w="1111"/>
      </w:tblGrid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0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закончивши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ся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3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декабря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12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</w:t>
            </w: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Алюминий</w:t>
            </w:r>
            <w:proofErr w:type="spellEnd"/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Глинозем</w:t>
            </w:r>
            <w:proofErr w:type="spellEnd"/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Алюминий</w:t>
            </w:r>
            <w:proofErr w:type="spellEnd"/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Глинозем</w:t>
            </w:r>
            <w:proofErr w:type="spellEnd"/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млн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долл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 США)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Выручка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сегмента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1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 тыс. тонн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3 702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7</w:t>
            </w: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 844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4 036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7,662</w:t>
            </w:r>
          </w:p>
        </w:tc>
      </w:tr>
      <w:tr w:rsidR="009C330D" w:rsidRPr="009C330D" w:rsidTr="009C330D">
        <w:tc>
          <w:tcPr>
            <w:tcW w:w="1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млн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долл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. США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6 666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2 310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7 732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 w:eastAsia="ru-RU"/>
              </w:rPr>
              <w:t>2 539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Прибыль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сегмента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733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(106)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(51)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EBITDA</w:t>
            </w: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сегмента</w:t>
            </w:r>
            <w:hyperlink r:id="rId11" w:anchor="e7908c9cffd995a7mailruanchor__ftn8" w:tgtFrame="_blank" w:history="1">
              <w:r w:rsidRPr="009C330D">
                <w:rPr>
                  <w:rFonts w:ascii="Times New Roman" w:eastAsia="Times New Roman" w:hAnsi="Times New Roman" w:cs="Times New Roman"/>
                  <w:color w:val="2222CC"/>
                  <w:sz w:val="23"/>
                  <w:szCs w:val="23"/>
                  <w:u w:val="single"/>
                  <w:lang w:eastAsia="ru-RU"/>
                </w:rPr>
                <w:t>[8]</w:t>
              </w:r>
            </w:hyperlink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1 068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Маржа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EBITDA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сегмента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16,0%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2,1%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3,1%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к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апитальные</w:t>
            </w:r>
            <w:proofErr w:type="spellEnd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затраты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(611)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(238)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(553)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(250)</w:t>
            </w:r>
          </w:p>
        </w:tc>
      </w:tr>
      <w:tr w:rsidR="009C330D" w:rsidRPr="009C330D" w:rsidTr="009C330D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C330D" w:rsidRPr="009C330D" w:rsidRDefault="009C330D" w:rsidP="009C330D">
            <w:pPr>
              <w:spacing w:before="20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C33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</w:tbl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Итоговая маржа по прибыли (рассчитываемая как процент от прибыли сегмента к общей выручке сегмента) в алюминиевом сегменте увеличилась до 11,0% за год, закончившийся 31 декабря 2020 года, по сравнению с 10,3% за год, закончившийся 31 декабря 2019 года, и уменьшилась до отрицательного значения 4,6% по сравнению с отрицательным значением 2,0%, соответственно, в глиноземном сегменте. Основные причины снижения маржи в алюминиевом сегменте раскрыты в разделах «Выручка», «Себестоимость реализации» и «Результаты операционной деятельности и скорректированная EBITDA» выше по тексту. Подробная отчётность по сегментам </w:t>
      </w: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содержится в консолидированной финансовой отчётности за год, закончившийся 31 декабря 2020 г.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Прогнозные заявления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Данный пресс-релиз содержит заявления касательно будущих событий, предполагаемых показателей, прогнозов и ожиданий, которые представляют собой прогнозные заявления. Любое содержащееся в настоящем пресс-релизе заявление, не являющееся констатацией исторического факта, представляет собой прогнозное заявление, сопряженное с известными и неизвестными рисками, неопределенностями прочими факторами, в силу которых наши фактические результаты, показатели хозяйственной деятельности или достижения могут существенным образом отличаться от каких-либо результатов, показателей хозяйственной деятельности или достижений, выраженных в данных прогнозных  заявлениях или подразумеваемых ими. В число таких рисков и неопределенностей входят риски и неопределенности, описанные или указанные в Проспекте эмиссии. Кроме того, деятельность Компании в прошлом не может быть основанием для прогнозирования ее деятельности в будущем. РУСАЛ не предоставляет никаких заверений относительно достоверности и полноты любого из прогнозных заявлений и не принимает на себя никаких обязательств по дополнению, изменению, обновлению или пересмотру любых таких заявлений или любых выраженных мнений с учетом фактических результатов, изменений в предположениях или ожиданиях, или изменений в факторах, влияющих на данные заявления. Таким образом, полагаясь на данные прогнозные заявления, Вы делаете это исключительно на свой риск.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> 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ru-RU"/>
        </w:rPr>
        <w:t>Информация о компании</w:t>
      </w:r>
    </w:p>
    <w:p w:rsidR="009C330D" w:rsidRPr="009C330D" w:rsidRDefault="009C330D" w:rsidP="009C3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РУСАЛ (</w:t>
      </w:r>
      <w:hyperlink r:id="rId12" w:tgtFrame="_blank" w:history="1">
        <w:r w:rsidRPr="009C330D">
          <w:rPr>
            <w:rFonts w:ascii="Arial" w:eastAsia="Times New Roman" w:hAnsi="Arial" w:cs="Arial"/>
            <w:color w:val="2222CC"/>
            <w:sz w:val="23"/>
            <w:szCs w:val="23"/>
            <w:u w:val="single"/>
            <w:lang w:eastAsia="ru-RU"/>
          </w:rPr>
          <w:t>www.rusal.ru</w:t>
        </w:r>
      </w:hyperlink>
      <w:r w:rsidRPr="009C33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– лидер мировой алюминиевой отрасли. В 2020 году на долю компании приходилось около 5,8% мирового производства алюминия и 6,5% глинозема. РУСАЛ присутствует в 20 странах мира на 5 континентах. Обыкновенные акции РУСАЛа торгуются на Гонконгской фондовой бирже (торговый код 486) и на Московской бирже (торговый код RUAL).</w:t>
      </w:r>
    </w:p>
    <w:p w:rsidR="00410337" w:rsidRDefault="00410337"/>
    <w:sectPr w:rsidR="0041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t std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0D"/>
    <w:rsid w:val="0029098E"/>
    <w:rsid w:val="00410337"/>
    <w:rsid w:val="009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1839-99CE-4609-8A53-D7FC5361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C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fc5f3b9dd242f5msonormalmrcssattr">
    <w:name w:val="a8fc5f3b9dd242f5msonormal_mr_css_attr"/>
    <w:basedOn w:val="a"/>
    <w:rsid w:val="009C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330D"/>
    <w:rPr>
      <w:b/>
      <w:bCs/>
    </w:rPr>
  </w:style>
  <w:style w:type="paragraph" w:customStyle="1" w:styleId="5f2fb66f2de08082msolistparagraphmrcssattr">
    <w:name w:val="5f2fb66f2de08082msolistparagraph_mr_css_attr"/>
    <w:basedOn w:val="a"/>
    <w:rsid w:val="009C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5970b73270ec63msoplaintextmrcssattr">
    <w:name w:val="915970b73270ec63msoplaintext_mr_css_attr"/>
    <w:basedOn w:val="a"/>
    <w:rsid w:val="009C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33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330D"/>
    <w:rPr>
      <w:color w:val="800080"/>
      <w:u w:val="single"/>
    </w:rPr>
  </w:style>
  <w:style w:type="character" w:customStyle="1" w:styleId="cc8352b3881fcdf9msofootnotereferencemrcssattr">
    <w:name w:val="cc8352b3881fcdf9msofootnotereference_mr_css_attr"/>
    <w:basedOn w:val="a0"/>
    <w:rsid w:val="009C330D"/>
  </w:style>
  <w:style w:type="paragraph" w:styleId="a6">
    <w:name w:val="Normal (Web)"/>
    <w:basedOn w:val="a"/>
    <w:uiPriority w:val="99"/>
    <w:semiHidden/>
    <w:unhideWhenUsed/>
    <w:rsid w:val="009C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2a57228f9f7da9my0mrcssattr">
    <w:name w:val="a62a57228f9f7da9my0_mr_css_attr"/>
    <w:basedOn w:val="a"/>
    <w:rsid w:val="009C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73720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37372006" TargetMode="External"/><Relationship Id="rId12" Type="http://schemas.openxmlformats.org/officeDocument/2006/relationships/hyperlink" Target="http://www.rus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37372006" TargetMode="External"/><Relationship Id="rId11" Type="http://schemas.openxmlformats.org/officeDocument/2006/relationships/hyperlink" Target="https://mail.yandex.ru/?uid=37372006" TargetMode="External"/><Relationship Id="rId5" Type="http://schemas.openxmlformats.org/officeDocument/2006/relationships/hyperlink" Target="https://mail.yandex.ru/?uid=37372006" TargetMode="External"/><Relationship Id="rId10" Type="http://schemas.openxmlformats.org/officeDocument/2006/relationships/hyperlink" Target="https://mail.yandex.ru/?uid=37372006" TargetMode="External"/><Relationship Id="rId4" Type="http://schemas.openxmlformats.org/officeDocument/2006/relationships/hyperlink" Target="https://mail.yandex.ru/?uid=37372006" TargetMode="External"/><Relationship Id="rId9" Type="http://schemas.openxmlformats.org/officeDocument/2006/relationships/hyperlink" Target="https://mail.yandex.ru/?uid=37372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2</cp:revision>
  <dcterms:created xsi:type="dcterms:W3CDTF">2021-03-19T15:03:00Z</dcterms:created>
  <dcterms:modified xsi:type="dcterms:W3CDTF">2021-03-19T15:04:00Z</dcterms:modified>
</cp:coreProperties>
</file>