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Основные результаты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Алюминий</w:t>
      </w:r>
    </w:p>
    <w:p w:rsidR="009657BB" w:rsidRPr="009657BB" w:rsidRDefault="009657BB" w:rsidP="009657BB">
      <w:pPr>
        <w:numPr>
          <w:ilvl w:val="0"/>
          <w:numId w:val="1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 производства алюминия в 1 квартале 2021 года составил 932 тыс. тонн (-1,9% по сравнению с предыдущим кварталом). На заводы Компании, расположенные в Сибири, пришлось 93% от общего объема выпуска алюминия;</w:t>
      </w:r>
    </w:p>
    <w:p w:rsidR="009657BB" w:rsidRPr="009657BB" w:rsidRDefault="009657BB" w:rsidP="009657BB">
      <w:pPr>
        <w:numPr>
          <w:ilvl w:val="0"/>
          <w:numId w:val="1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 квартале 2021 года объем продаж алюминия составил 962 тыс. тонн (-6,4% по сравнению с предыдущим кварталом). Усилившийся спрос в 4 квартале 2020 года привел к сокращению запасов металла в цепочке поставок ниже оптимального уровня. Нормализация запасов повлияла на продажи в январе 2021 года, поэтому</w:t>
      </w:r>
      <w:r w:rsidRPr="009657B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 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сравнению с предыдущим кварталом объем продаж снизился, включая сбыт алюминия, произведённого на </w:t>
      </w:r>
      <w:proofErr w:type="spellStart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БоАЗе</w:t>
      </w:r>
      <w:proofErr w:type="spellEnd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begin"/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instrText xml:space="preserve"> HYPERLINK "https://mail.yandex.ru/?uid=37372006" \l "411534e4bbd2a814mailruanchor__ftn1" \t "_blank" </w:instrTex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separate"/>
      </w:r>
      <w:r w:rsidRPr="009657BB">
        <w:rPr>
          <w:rFonts w:ascii="Times New Roman" w:eastAsia="Times New Roman" w:hAnsi="Times New Roman" w:cs="Times New Roman"/>
          <w:color w:val="2222CC"/>
          <w:sz w:val="23"/>
          <w:szCs w:val="23"/>
          <w:u w:val="single"/>
          <w:lang w:eastAsia="ru-RU"/>
        </w:rPr>
        <w:t>[1]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end"/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 третьими сторонами. В течение 1 квартала 2021 года продажи продукции с добавленной стоимостью (ПДС</w:t>
      </w:r>
      <w:hyperlink r:id="rId5" w:anchor="f473485c18ff1a65mailruanchor__ftn2" w:tgtFrame="_blank" w:history="1">
        <w:r w:rsidRPr="009657BB">
          <w:rPr>
            <w:rFonts w:ascii="Times New Roman" w:eastAsia="Times New Roman" w:hAnsi="Times New Roman" w:cs="Times New Roman"/>
            <w:color w:val="2222CC"/>
            <w:sz w:val="23"/>
            <w:szCs w:val="23"/>
            <w:u w:val="single"/>
            <w:lang w:eastAsia="ru-RU"/>
          </w:rPr>
          <w:t>[2]</w:t>
        </w:r>
      </w:hyperlink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сократились на 3,2% по сравнению с предыдущим кварталом – до 468 тыс. тонн. В то же время в соответствии со своей стратегией Компания продолжила наращивать долю ПДС в общей структуре продаж: доля выросла до 49% по сравнению с 47% в 4 квартале 2020 года;</w:t>
      </w:r>
    </w:p>
    <w:p w:rsidR="009657BB" w:rsidRPr="009657BB" w:rsidRDefault="009657BB" w:rsidP="009657BB">
      <w:pPr>
        <w:numPr>
          <w:ilvl w:val="0"/>
          <w:numId w:val="1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 квартале 2021 года география региональных продаж практически не изменилась по сравнению с предыдущим кварталом. На европейский рынок пришлось 42% от общего объема продаж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(-1 процентный пункт по сравнению с предыдущим кварталом), доля продаж в Азии так же незначительно снизилась – до 26% (по сравнению с 27% в 4 квартале 2020 года). Сдвиг произошел в сторону американского рынка, где продажи выросли до 8% (по сравнению с 6% в 4 квартале 2020 года).</w:t>
      </w:r>
    </w:p>
    <w:p w:rsidR="009657BB" w:rsidRPr="009657BB" w:rsidRDefault="009657BB" w:rsidP="009657BB">
      <w:pPr>
        <w:numPr>
          <w:ilvl w:val="0"/>
          <w:numId w:val="1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 квартале 2021 года средняя цена реализации алюминия</w:t>
      </w:r>
      <w:hyperlink r:id="rId6" w:anchor="f0de0c826cc19b02mailruanchor__ftn3" w:tgtFrame="_blank" w:history="1">
        <w:r w:rsidRPr="009657BB">
          <w:rPr>
            <w:rFonts w:ascii="Times New Roman" w:eastAsia="Times New Roman" w:hAnsi="Times New Roman" w:cs="Times New Roman"/>
            <w:color w:val="2222CC"/>
            <w:sz w:val="23"/>
            <w:szCs w:val="23"/>
            <w:u w:val="single"/>
            <w:lang w:eastAsia="ru-RU"/>
          </w:rPr>
          <w:t>[3</w:t>
        </w:r>
      </w:hyperlink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 увеличилась на 9,1% по сравнению с предыдущим кварталом – до 2 116 долл. США за тонну. Увеличение было обусловлено ростом средней цены на алюминий на Лондонской бирже металлов (LME) с учетом котировального периода</w:t>
      </w:r>
      <w:hyperlink r:id="rId7" w:anchor="44be308019b13663mailruanchor__ftn4" w:tgtFrame="_blank" w:history="1">
        <w:r w:rsidRPr="009657BB">
          <w:rPr>
            <w:rFonts w:ascii="Times New Roman" w:eastAsia="Times New Roman" w:hAnsi="Times New Roman" w:cs="Times New Roman"/>
            <w:color w:val="2222CC"/>
            <w:sz w:val="23"/>
            <w:szCs w:val="23"/>
            <w:u w:val="single"/>
            <w:lang w:eastAsia="ru-RU"/>
          </w:rPr>
          <w:t>[4]</w:t>
        </w:r>
      </w:hyperlink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(+8,9% по сравнению с предыдущим кварталом – до 1 940 долл. США за тонну) и ростом средней реализованной премии (+10,8% по сравнению с предыдущим кварталом – до 176 долл. США за тонну).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Глинозем</w:t>
      </w:r>
    </w:p>
    <w:p w:rsidR="009657BB" w:rsidRPr="009657BB" w:rsidRDefault="009657BB" w:rsidP="009657BB">
      <w:pPr>
        <w:numPr>
          <w:ilvl w:val="0"/>
          <w:numId w:val="2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 квартале 2021 года производство глинозема снизилось на 4,5% по сравнению с предыдущим кварталом – до 2 045 тыс. тонн. На долю российских предприятий Компании пришлось 36% от общего объема производства.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Бокситы и нефелиновая руда</w:t>
      </w:r>
    </w:p>
    <w:p w:rsidR="009657BB" w:rsidRPr="009657BB" w:rsidRDefault="009657BB" w:rsidP="009657BB">
      <w:pPr>
        <w:numPr>
          <w:ilvl w:val="0"/>
          <w:numId w:val="3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1 квартале 2021 года производство бокситов увеличилось на 7,4% по сравнению с предыдущим кварталом – до 3 801 тыс. тонн. В основном это связано с более низкой базой производства на предприятиях «Боксит </w:t>
      </w:r>
      <w:proofErr w:type="spellStart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Тимана</w:t>
      </w:r>
      <w:proofErr w:type="spellEnd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и </w:t>
      </w:r>
      <w:proofErr w:type="spellStart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Windalco</w:t>
      </w:r>
      <w:proofErr w:type="spellEnd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4 квартале 2020 года. Объем добычи нефелиновой руды снизился на 5,3% по сравнению с предыдущим кварталом – до 1 062 тыс. тонн.</w:t>
      </w:r>
    </w:p>
    <w:p w:rsidR="009657BB" w:rsidRPr="009657BB" w:rsidRDefault="009657BB" w:rsidP="009657BB">
      <w:pPr>
        <w:shd w:val="clear" w:color="auto" w:fill="FFFFFF"/>
        <w:spacing w:before="100" w:beforeAutospacing="1" w:after="4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Обзор рынка</w:t>
      </w:r>
      <w:hyperlink r:id="rId8" w:anchor="58e36101531f2458mailruanchor__ftn5" w:tgtFrame="_blank" w:history="1">
        <w:r w:rsidRPr="009657BB">
          <w:rPr>
            <w:rFonts w:ascii="Times New Roman" w:eastAsia="Times New Roman" w:hAnsi="Times New Roman" w:cs="Times New Roman"/>
            <w:b/>
            <w:bCs/>
            <w:color w:val="2222CC"/>
            <w:sz w:val="23"/>
            <w:szCs w:val="23"/>
            <w:u w:val="single"/>
            <w:lang w:eastAsia="ru-RU"/>
          </w:rPr>
          <w:t>[5]</w:t>
        </w:r>
      </w:hyperlink>
    </w:p>
    <w:p w:rsidR="009657BB" w:rsidRPr="009657BB" w:rsidRDefault="009657BB" w:rsidP="009657BB">
      <w:pPr>
        <w:numPr>
          <w:ilvl w:val="0"/>
          <w:numId w:val="4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 квартале 2021 года продолжилось </w:t>
      </w: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восстановление объемов мирового производства от уровней отчетных периодов 2020 года, просевших в результате 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пандемии COVID-19. Резкий рост спроса и ожидания сбоев поставок в краткосрочной и среднесрочной перспективе оказали существенное влияние на цену </w:t>
      </w: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LME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 премии. В конце 1 квартала 2021 года цена </w:t>
      </w: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LME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достигла 2 300 долл. США за тонну по сравнению с 1 500 долл. США за тонну в 1 квартале 2020 года. Цена на Шанхайской фьючерсной бирже поддерживается сильными фундаментальными факторами и остается выше уровня 17 500 китайских юаней за тонну, несмотря на традиционно слабый спрос в 1 квартале;</w:t>
      </w:r>
    </w:p>
    <w:p w:rsidR="009657BB" w:rsidRPr="009657BB" w:rsidRDefault="009657BB" w:rsidP="009657BB">
      <w:pPr>
        <w:numPr>
          <w:ilvl w:val="0"/>
          <w:numId w:val="4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концу 1 квартала 2021 года премии на алюминий на всех региональных рынках без учета Китая выросли на 130-150% в годовом выражении под влиянием быстро </w:t>
      </w:r>
      <w:proofErr w:type="spellStart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восстанавливающегося</w:t>
      </w:r>
      <w:proofErr w:type="spellEnd"/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спроса и в связи с увеличением тарифов на транспортировку;</w:t>
      </w:r>
    </w:p>
    <w:p w:rsidR="009657BB" w:rsidRPr="009657BB" w:rsidRDefault="009657BB" w:rsidP="009657BB">
      <w:pPr>
        <w:numPr>
          <w:ilvl w:val="0"/>
          <w:numId w:val="4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 квартале 2021 года глобальный спрос на первичный алюминий вырос на 11% по сравнению с предыдущим годом (с корректировкой, учитывающей количество дней) – до 16,4 млн тонн. </w:t>
      </w: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Совокупный спрос без учета Китая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увеличился на 5,2% – до 7,2 млн тонн, при этом спрос в Китае вырос на 15,4% – до 9,2 млн тонн. Среди отраслей конечного потребления алюминия наиболее быстрый рост демонстрирует транспортная промышленность. Запуск новых моделей, включая электромобили, реализация пакетов стимулирования по внедрению в производство практик в области защиты окружающей среды, социального обеспечения и управления (ESG) способствуют расширению применения алюминия в таких секторах, как упаковка, возобновляемая энергетика, энергоэффективное строительство;</w:t>
      </w:r>
    </w:p>
    <w:p w:rsidR="009657BB" w:rsidRPr="009657BB" w:rsidRDefault="009657BB" w:rsidP="009657BB">
      <w:pPr>
        <w:numPr>
          <w:ilvl w:val="0"/>
          <w:numId w:val="4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Мировой объем производства алюминия </w:t>
      </w: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продолжил расти в 1 квартале 2021 года, увеличившись на 5,9% в годовом выражении – до 16,75 млн тонн, преимущественно благодаря росту производства в Китае на 9,6% – до 9,8 млн тонн. При этом производство в остальном мире выросло только на 1% – до 7 млн тонн. В то же время недавнее заявление Правительства КНР о намерении пройти пик выбросов углекислого газа к 2025 году, а также снизить использование угля и потребление энергии на единицу ВВП может вызвать сбой поставок в определенных провинциях, зависящих от угольной генерации, и привести, помимо прочего, к сокращению производства алюминия. В целом строгие меры в области защиты окружающей среды, социального обеспечения и управления в Китае и объявленное сокращение китайских мощностей производства алюминия до 45 млн тонн могут кардинально изменить глобальную алюминиевую отрасль, существенно сократив предложение металла на рынке;</w:t>
      </w:r>
    </w:p>
    <w:p w:rsidR="009657BB" w:rsidRPr="009657BB" w:rsidRDefault="009657BB" w:rsidP="009657BB">
      <w:pPr>
        <w:numPr>
          <w:ilvl w:val="0"/>
          <w:numId w:val="4"/>
        </w:num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sz w:val="23"/>
          <w:szCs w:val="23"/>
          <w:lang w:eastAsia="ru-RU"/>
        </w:rPr>
        <w:t>Китай продолжает оставаться крупным импортером алюминия. По оценкам, в 1 квартале 2021 года чистый импорт необработанного алюминия в Китай достиг 331 тыс. тонн. За весь 2020 год чистый импорт необработанного алюминия в Китай составил 1 064 млн тонн. В результате в 1 квартале 2021 года </w:t>
      </w: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профицит на мировом рынке зафиксирован на гораздо более низком уровне </w:t>
      </w:r>
      <w:r w:rsidRPr="009657BB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9657BB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> </w:t>
      </w:r>
      <w:r w:rsidRPr="009657BB">
        <w:rPr>
          <w:rFonts w:ascii="Times New Roman" w:eastAsia="Times New Roman" w:hAnsi="Times New Roman" w:cs="Times New Roman"/>
          <w:sz w:val="23"/>
          <w:szCs w:val="23"/>
          <w:lang w:eastAsia="ru-RU"/>
        </w:rPr>
        <w:t>0,33 млн тонн по сравнению с 1,0 млн тонн за тот же период годом ранее. Рынок без учета Китая зафиксировал в 1 квартале 2021 г. дефицит в 0,25 млн тонн.</w:t>
      </w:r>
    </w:p>
    <w:p w:rsidR="009657BB" w:rsidRPr="009657BB" w:rsidRDefault="009657BB" w:rsidP="00965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ОСНОВНЫЕ ОПЕРАЦИОННЫЕ ПОКАЗАТЕЛИ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ПРОИЗВОДСТВЕННЫЕ ПОКАЗАТЕЛИ</w:t>
      </w:r>
      <w:hyperlink r:id="rId9" w:anchor="acc314ff000e0169mailruanchor__ftn6" w:tgtFrame="_blank" w:history="1">
        <w:r w:rsidRPr="009657BB">
          <w:rPr>
            <w:rFonts w:ascii="Times New Roman" w:eastAsia="Times New Roman" w:hAnsi="Times New Roman" w:cs="Times New Roman"/>
            <w:b/>
            <w:bCs/>
            <w:color w:val="2222CC"/>
            <w:sz w:val="23"/>
            <w:szCs w:val="23"/>
            <w:u w:val="single"/>
            <w:lang w:eastAsia="ru-RU"/>
          </w:rPr>
          <w:t>[6]</w:t>
        </w:r>
      </w:hyperlink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887"/>
        <w:gridCol w:w="887"/>
        <w:gridCol w:w="1302"/>
        <w:gridCol w:w="283"/>
        <w:gridCol w:w="988"/>
        <w:gridCol w:w="1404"/>
      </w:tblGrid>
      <w:tr w:rsidR="009657BB" w:rsidRPr="009657BB" w:rsidTr="009657BB">
        <w:trPr>
          <w:trHeight w:val="600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(тыс. тонн)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28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-0,8%</w:t>
            </w:r>
          </w:p>
        </w:tc>
      </w:tr>
      <w:tr w:rsidR="009657BB" w:rsidRPr="009657BB" w:rsidTr="009657BB">
        <w:trPr>
          <w:trHeight w:val="28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2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коэффициент загрузки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57BB" w:rsidRPr="009657BB" w:rsidTr="009657BB">
        <w:trPr>
          <w:trHeight w:val="28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Алюминиевая фольга и упаковка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6,7%</w:t>
            </w:r>
          </w:p>
        </w:tc>
      </w:tr>
      <w:tr w:rsidR="009657BB" w:rsidRPr="009657BB" w:rsidTr="009657BB">
        <w:trPr>
          <w:trHeight w:val="28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Глинозем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1,6%</w:t>
            </w:r>
          </w:p>
        </w:tc>
      </w:tr>
      <w:tr w:rsidR="009657BB" w:rsidRPr="009657BB" w:rsidTr="009657BB">
        <w:trPr>
          <w:trHeight w:val="28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Бокситы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3 801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3 539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6,3%</w:t>
            </w:r>
          </w:p>
        </w:tc>
      </w:tr>
      <w:tr w:rsidR="009657BB" w:rsidRPr="009657BB" w:rsidTr="009657BB">
        <w:trPr>
          <w:trHeight w:val="28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Нефелиновая руда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</w:t>
            </w:r>
          </w:p>
        </w:tc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-5,3%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ДАННЫЕ ПО РЕАЛИЗАЦИИ</w:t>
      </w:r>
    </w:p>
    <w:tbl>
      <w:tblPr>
        <w:tblW w:w="8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887"/>
        <w:gridCol w:w="887"/>
        <w:gridCol w:w="1327"/>
        <w:gridCol w:w="276"/>
        <w:gridCol w:w="963"/>
        <w:gridCol w:w="1390"/>
      </w:tblGrid>
      <w:tr w:rsidR="009657BB" w:rsidRPr="009657BB" w:rsidTr="009657BB">
        <w:trPr>
          <w:trHeight w:val="60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алюминия,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-6,4%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5,3%</w:t>
            </w:r>
          </w:p>
        </w:tc>
      </w:tr>
      <w:tr w:rsidR="009657BB" w:rsidRPr="009657BB" w:rsidTr="009657BB">
        <w:trPr>
          <w:trHeight w:val="30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19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включая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19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реализацию алюминия, произведенного на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БоАЗе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-17,3%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-13,1%</w:t>
            </w:r>
          </w:p>
        </w:tc>
      </w:tr>
      <w:tr w:rsidR="009657BB" w:rsidRPr="009657BB" w:rsidTr="009657BB">
        <w:trPr>
          <w:trHeight w:val="57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19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реализацию алюминия, произведенного третьими сторонами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-23,8%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315,3%</w:t>
            </w:r>
          </w:p>
        </w:tc>
      </w:tr>
      <w:tr w:rsidR="009657BB" w:rsidRPr="009657BB" w:rsidTr="009657BB">
        <w:trPr>
          <w:trHeight w:val="5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реализации, долл. США/тонну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13,5%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8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алюминия на LME с учетом котировального периода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1 781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13,6%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Реализованная премия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12,8%</w:t>
            </w:r>
          </w:p>
        </w:tc>
      </w:tr>
      <w:tr w:rsidR="009657BB" w:rsidRPr="009657BB" w:rsidTr="009657BB">
        <w:trPr>
          <w:trHeight w:val="583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19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 премия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19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(100% продаж)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6,3%</w:t>
            </w:r>
          </w:p>
        </w:tc>
      </w:tr>
      <w:tr w:rsidR="009657BB" w:rsidRPr="009657BB" w:rsidTr="009657BB">
        <w:trPr>
          <w:trHeight w:val="563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Продуктовая премия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(100% продаж)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19,6%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508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Продуктовая премия,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left="508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включая торговую премию (только ПДС)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9,6%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13,5%</w:t>
            </w:r>
          </w:p>
        </w:tc>
      </w:tr>
      <w:tr w:rsidR="009657BB" w:rsidRPr="009657BB" w:rsidTr="009657BB">
        <w:trPr>
          <w:trHeight w:val="5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ПДС в тоннах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-3,2%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10,9%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ПДС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2пп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3пп</w:t>
            </w:r>
          </w:p>
        </w:tc>
      </w:tr>
      <w:tr w:rsidR="009657BB" w:rsidRPr="009657BB" w:rsidTr="009657BB">
        <w:trPr>
          <w:trHeight w:val="5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 продаж, %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firstLine="246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-1пп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-14пп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firstLine="246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и СНГ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2пп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firstLine="246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-1пп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11пп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firstLine="246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2пп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1пп</w:t>
            </w:r>
          </w:p>
        </w:tc>
      </w:tr>
      <w:tr w:rsidR="009657BB" w:rsidRPr="009657BB" w:rsidTr="009657BB">
        <w:trPr>
          <w:trHeight w:val="50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Продажи глинозема третьим лицам</w:t>
            </w:r>
            <w:hyperlink r:id="rId10" w:anchor="aa24c4fa378089c6mailruanchor__ftn7" w:tgtFrame="_blank" w:history="1">
              <w:r w:rsidRPr="009657B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t>[7]</w:t>
              </w:r>
            </w:hyperlink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-7,2%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16,5%</w:t>
            </w:r>
          </w:p>
        </w:tc>
      </w:tr>
      <w:tr w:rsidR="009657BB" w:rsidRPr="009657BB" w:rsidTr="009657BB">
        <w:trPr>
          <w:trHeight w:val="375"/>
        </w:trPr>
        <w:tc>
          <w:tcPr>
            <w:tcW w:w="2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Продажи бокситов третьим лицам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-22,7%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657BB" w:rsidRPr="009657BB" w:rsidRDefault="009657BB" w:rsidP="00965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ДАННЫЕ ПО ЗАКУПКАМ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887"/>
        <w:gridCol w:w="887"/>
        <w:gridCol w:w="1272"/>
        <w:gridCol w:w="283"/>
        <w:gridCol w:w="990"/>
        <w:gridCol w:w="1408"/>
      </w:tblGrid>
      <w:tr w:rsidR="009657BB" w:rsidRPr="009657BB" w:rsidTr="009657BB">
        <w:trPr>
          <w:trHeight w:val="728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4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Глинозем</w:t>
            </w:r>
            <w:hyperlink r:id="rId11" w:anchor="e7908c9cffd995a7mailruanchor__ftn8" w:tgtFrame="_blank" w:history="1">
              <w:r w:rsidRPr="009657B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t>[8]</w:t>
              </w:r>
            </w:hyperlink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23,1%</w:t>
            </w:r>
          </w:p>
        </w:tc>
      </w:tr>
      <w:tr w:rsidR="009657BB" w:rsidRPr="009657BB" w:rsidTr="009657BB">
        <w:trPr>
          <w:trHeight w:val="345"/>
        </w:trPr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Бокситы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ПРОИЗВОДСТВО АЛЮМИНИЯ</w:t>
      </w: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992"/>
        <w:gridCol w:w="993"/>
        <w:gridCol w:w="1275"/>
        <w:gridCol w:w="284"/>
        <w:gridCol w:w="992"/>
        <w:gridCol w:w="1418"/>
      </w:tblGrid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 (Сибирь)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6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6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6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Саяногорский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6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6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ind w:right="-6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Хакасский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3,1%</w:t>
            </w:r>
          </w:p>
        </w:tc>
      </w:tr>
      <w:tr w:rsidR="009657BB" w:rsidRPr="009657BB" w:rsidTr="009657BB">
        <w:trPr>
          <w:trHeight w:val="78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 — другие регионы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-13,3%</w:t>
            </w:r>
          </w:p>
        </w:tc>
      </w:tr>
      <w:tr w:rsidR="009657BB" w:rsidRPr="009657BB" w:rsidTr="009657BB">
        <w:trPr>
          <w:trHeight w:val="96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Kubikenborg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Aluminium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(KUBAL)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9657BB" w:rsidRPr="009657BB" w:rsidTr="009657BB">
        <w:trPr>
          <w:trHeight w:val="6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hyperlink r:id="rId12" w:anchor="3b62ac9aacbcececmailruanchor__ftn9" w:tgtFrame="_blank" w:history="1">
              <w:r w:rsidRPr="009657BB">
                <w:rPr>
                  <w:rFonts w:ascii="Times New Roman" w:eastAsia="Times New Roman" w:hAnsi="Times New Roman" w:cs="Times New Roman"/>
                  <w:b/>
                  <w:bCs/>
                  <w:color w:val="2222CC"/>
                  <w:sz w:val="20"/>
                  <w:szCs w:val="20"/>
                  <w:u w:val="single"/>
                  <w:lang w:eastAsia="ru-RU"/>
                </w:rPr>
                <w:t>[9]</w:t>
              </w:r>
            </w:hyperlink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-1,9%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-0,8%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00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Производство фольги и упаковочной продукции</w:t>
      </w: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992"/>
        <w:gridCol w:w="993"/>
        <w:gridCol w:w="1280"/>
        <w:gridCol w:w="283"/>
        <w:gridCol w:w="992"/>
        <w:gridCol w:w="1414"/>
      </w:tblGrid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САЯНАЛ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-7,7%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Уральская фольга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Саянская фольга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18,0%</w:t>
            </w:r>
          </w:p>
        </w:tc>
      </w:tr>
      <w:tr w:rsidR="009657BB" w:rsidRPr="009657BB" w:rsidTr="009657BB">
        <w:trPr>
          <w:trHeight w:val="162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АРМЕНАЛ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-2,8%</w:t>
            </w:r>
          </w:p>
        </w:tc>
      </w:tr>
      <w:tr w:rsidR="009657BB" w:rsidRPr="009657BB" w:rsidTr="009657BB">
        <w:trPr>
          <w:trHeight w:val="174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-4,0%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Производство прочей алюминиевой продукции и кремния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976"/>
        <w:gridCol w:w="888"/>
        <w:gridCol w:w="887"/>
        <w:gridCol w:w="1412"/>
        <w:gridCol w:w="280"/>
        <w:gridCol w:w="887"/>
        <w:gridCol w:w="1327"/>
      </w:tblGrid>
      <w:tr w:rsidR="009657BB" w:rsidRPr="009657BB" w:rsidTr="009657BB">
        <w:trPr>
          <w:trHeight w:val="600"/>
        </w:trPr>
        <w:tc>
          <w:tcPr>
            <w:tcW w:w="3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00"/>
        </w:trPr>
        <w:tc>
          <w:tcPr>
            <w:tcW w:w="2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Вторичные сплавы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194,4%</w:t>
            </w:r>
          </w:p>
        </w:tc>
      </w:tr>
      <w:tr w:rsidR="009657BB" w:rsidRPr="009657BB" w:rsidTr="009657BB">
        <w:trPr>
          <w:trHeight w:val="300"/>
        </w:trPr>
        <w:tc>
          <w:tcPr>
            <w:tcW w:w="2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Кремний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-14,8%</w:t>
            </w:r>
          </w:p>
        </w:tc>
      </w:tr>
      <w:tr w:rsidR="009657BB" w:rsidRPr="009657BB" w:rsidTr="009657BB">
        <w:trPr>
          <w:trHeight w:val="300"/>
        </w:trPr>
        <w:tc>
          <w:tcPr>
            <w:tcW w:w="2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Порошки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4,7%</w:t>
            </w:r>
          </w:p>
        </w:tc>
      </w:tr>
      <w:tr w:rsidR="009657BB" w:rsidRPr="009657BB" w:rsidTr="009657BB">
        <w:trPr>
          <w:trHeight w:val="300"/>
        </w:trPr>
        <w:tc>
          <w:tcPr>
            <w:tcW w:w="2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Колесные диски (тыс. ед.)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4,7%</w:t>
            </w:r>
          </w:p>
        </w:tc>
        <w:tc>
          <w:tcPr>
            <w:tcW w:w="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ПРОИЗВОДСТВО ГЛИНОЗЕМА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992"/>
        <w:gridCol w:w="993"/>
        <w:gridCol w:w="1280"/>
        <w:gridCol w:w="279"/>
        <w:gridCol w:w="992"/>
        <w:gridCol w:w="1418"/>
      </w:tblGrid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Ирландия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Aughinish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Alumina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Ямайка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Windalco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-7,0%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-9,7%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 глиноземный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-6,6%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Богословский глиноземный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-7,5%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Ачинский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глиноземный комбинат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Уральский глиноземный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ПГЛЗ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Гвинея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Глиноземный завод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Friguia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Австралия (СП)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Queensland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Alumina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"https://mail.yandex.ru/?uid=37372006" \l "ee421da7eeafeba8mailruanchor__ftn10" \t "_blank" </w:instrText>
            </w: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657BB">
              <w:rPr>
                <w:rFonts w:ascii="Times New Roman" w:eastAsia="Times New Roman" w:hAnsi="Times New Roman" w:cs="Times New Roman"/>
                <w:color w:val="2222CC"/>
                <w:sz w:val="20"/>
                <w:szCs w:val="20"/>
                <w:u w:val="single"/>
                <w:lang w:eastAsia="ru-RU"/>
              </w:rPr>
              <w:t>[10]</w:t>
            </w: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-3,5%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</w:tr>
      <w:tr w:rsidR="009657BB" w:rsidRPr="009657BB" w:rsidTr="009657BB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2 045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2 142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-4,5%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 </w:t>
      </w:r>
    </w:p>
    <w:p w:rsidR="009657BB" w:rsidRPr="009657BB" w:rsidRDefault="009657BB" w:rsidP="00965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ДОБЫЧА БОКСИТОВ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tbl>
      <w:tblPr>
        <w:tblW w:w="8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887"/>
        <w:gridCol w:w="887"/>
        <w:gridCol w:w="1271"/>
        <w:gridCol w:w="283"/>
        <w:gridCol w:w="990"/>
        <w:gridCol w:w="1409"/>
      </w:tblGrid>
      <w:tr w:rsidR="009657BB" w:rsidRPr="009657BB" w:rsidTr="009657BB">
        <w:trPr>
          <w:trHeight w:val="300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300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Ямайка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Windalco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17,0%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 Урал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-8,3%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Тиман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Гвинея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Фрия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Киндия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-4,3%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2,8%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Диан-Диан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-3,9%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7,8%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Гайана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Bauxite Company of Guyana Inc.</w:t>
            </w:r>
            <w:hyperlink r:id="rId13" w:anchor="da1ced26b541fdb3mailruanchor__ftn11" w:tgtFrame="_blank" w:history="1">
              <w:r w:rsidRPr="009657B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val="en-US" w:eastAsia="ru-RU"/>
                </w:rPr>
                <w:t>[11]</w:t>
              </w:r>
            </w:hyperlink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57BB" w:rsidRPr="009657BB" w:rsidTr="009657BB">
        <w:trPr>
          <w:trHeight w:val="285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3 539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Объем производства нефелиновой руды</w:t>
      </w:r>
      <w:hyperlink r:id="rId14" w:anchor="934a85ce63615d16mailruanchor__ftn12" w:tgtFrame="_blank" w:history="1">
        <w:r w:rsidRPr="009657BB">
          <w:rPr>
            <w:rFonts w:ascii="Times New Roman" w:eastAsia="Times New Roman" w:hAnsi="Times New Roman" w:cs="Times New Roman"/>
            <w:color w:val="2222CC"/>
            <w:sz w:val="23"/>
            <w:szCs w:val="23"/>
            <w:u w:val="single"/>
            <w:lang w:val="en-US" w:eastAsia="ru-RU"/>
          </w:rPr>
          <w:t>[12]</w:t>
        </w:r>
      </w:hyperlink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1134"/>
        <w:gridCol w:w="988"/>
        <w:gridCol w:w="1275"/>
        <w:gridCol w:w="284"/>
        <w:gridCol w:w="997"/>
        <w:gridCol w:w="1418"/>
      </w:tblGrid>
      <w:tr w:rsidR="009657BB" w:rsidRPr="009657BB" w:rsidTr="009657BB">
        <w:trPr>
          <w:trHeight w:val="1124"/>
        </w:trPr>
        <w:tc>
          <w:tcPr>
            <w:tcW w:w="2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 во влажном состоянии)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657BB" w:rsidRPr="009657BB" w:rsidTr="009657BB">
        <w:trPr>
          <w:trHeight w:val="435"/>
        </w:trPr>
        <w:tc>
          <w:tcPr>
            <w:tcW w:w="2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Кия-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Шалтырский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нефелиновый рудник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-5,3%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00"/>
          <w:lang w:val="en-US" w:eastAsia="ru-RU"/>
        </w:rPr>
        <w:lastRenderedPageBreak/>
        <w:t> </w:t>
      </w: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РЕЗУЛЬТАТЫ ДЕЯТЕЛЬНОСТИ СОВМЕСТНОГО ПРЕДПРИЯТИЯ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62"/>
        <w:gridCol w:w="959"/>
        <w:gridCol w:w="887"/>
        <w:gridCol w:w="1231"/>
        <w:gridCol w:w="933"/>
        <w:gridCol w:w="1253"/>
        <w:gridCol w:w="1090"/>
      </w:tblGrid>
      <w:tr w:rsidR="009657BB" w:rsidRPr="009657BB" w:rsidTr="009657BB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тонн)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</w:t>
            </w:r>
          </w:p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4-ый квартал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квартал к кварталу, %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1-ый квартал 2020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ГЭС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Выработка электроэнергии,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"https://mail.yandex.ru/?uid=37372006" \l "4221d1a59b9ec8b9mailruanchor__ftn13" \t "_blank" </w:instrText>
            </w: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657BB">
              <w:rPr>
                <w:rFonts w:ascii="Times New Roman" w:eastAsia="Times New Roman" w:hAnsi="Times New Roman" w:cs="Times New Roman"/>
                <w:color w:val="2222CC"/>
                <w:sz w:val="20"/>
                <w:szCs w:val="20"/>
                <w:u w:val="single"/>
                <w:lang w:eastAsia="ru-RU"/>
              </w:rPr>
              <w:t>[13]</w:t>
            </w: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-27,6%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4 636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-29,1%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алюминиевый завод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749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алюминия (тыс. тонн)</w:t>
            </w:r>
            <w:hyperlink r:id="rId15" w:anchor="d673f18b57636f64mailruanchor__ftn14" w:tgtFrame="_blank" w:history="1">
              <w:r w:rsidRPr="009657B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t>[14]</w:t>
              </w:r>
            </w:hyperlink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-1,3%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-0,9%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«Богатырь </w:t>
            </w:r>
            <w:proofErr w:type="spellStart"/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Комир</w:t>
            </w:r>
            <w:proofErr w:type="spellEnd"/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и «Богатырь Транс»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285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угля (тыс. тонн)</w:t>
            </w:r>
            <w:hyperlink r:id="rId16" w:anchor="82a1b18daa7fe1dfmailruanchor__ftn15" w:tgtFrame="_blank" w:history="1">
              <w:r w:rsidRPr="009657B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t>[15]</w:t>
              </w:r>
            </w:hyperlink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6,044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-2,7%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6 185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-4,9%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9657BB" w:rsidRPr="009657BB" w:rsidTr="009657BB">
        <w:trPr>
          <w:trHeight w:val="633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перевозок (тыс. тонн перевозок)</w:t>
            </w:r>
            <w:hyperlink r:id="rId17" w:anchor="863cc92908526252mailruanchor__ftn16" w:tgtFrame="_blank" w:history="1">
              <w:r w:rsidRPr="009657B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t>[16]</w:t>
              </w:r>
            </w:hyperlink>
          </w:p>
        </w:tc>
        <w:tc>
          <w:tcPr>
            <w:tcW w:w="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-19,4%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7BB" w:rsidRPr="009657BB" w:rsidRDefault="009657BB" w:rsidP="009657BB">
            <w:pPr>
              <w:spacing w:before="100" w:beforeAutospacing="1" w:after="0" w:line="259" w:lineRule="atLeast"/>
              <w:ind w:right="-41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-50,4%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BB" w:rsidRPr="009657BB" w:rsidRDefault="009657BB" w:rsidP="009657BB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657B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</w:tbl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Прогнозные заявления</w:t>
      </w:r>
    </w:p>
    <w:p w:rsidR="009657BB" w:rsidRPr="009657BB" w:rsidRDefault="009657BB" w:rsidP="00965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5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Данный пресс-релиз содержит заявления касательно будущих событий, предполагаемых показателей, прогнозов и ожиданий, которые представляют собой прогнозные заявления. Любое содержащееся в настоящем пресс-релизе заявление, не являющееся констатацией исторического факта, представляет собой прогнозное заявление, сопряженное с известными и неизвестными рисками, неопределенностями и прочими факторами, в силу которых наши фактические результаты, показатели хозяйственной деятельности или достижения могут существенным образом отличаться от каких-либо результатов, показателей хозяйственной деятельности или достижений, выраженных в данных прогнозных заявлениях или подразумеваемых ими. В число таких рисков и неопределенностей входят риски и неопределенности, описанные или указанные в Проспекте эмиссии. Кроме того, деятельность компании в прошлом не может быть основанием для прогнозирования ее деятельности в будущем. РУСАЛ не предоставляет никаких заверений относительно достоверности и полноты любого из прогнозных заявлений и не принимает на себя никаких обязательств по дополнению, изменению, обновлению или пересмотру любых таких заявлений или любых выраженных мнений с учетом фактических результатов, изменений в предположениях или ожиданиях РУСАЛа или изменений в факторах, влияющих на данные заявления. Таким образом, полагаясь на данные прогнозные заявления, Вы делаете это исключительно на свой риск.</w:t>
      </w:r>
    </w:p>
    <w:p w:rsidR="00D6553A" w:rsidRDefault="00D6553A">
      <w:bookmarkStart w:id="0" w:name="_GoBack"/>
      <w:bookmarkEnd w:id="0"/>
    </w:p>
    <w:sectPr w:rsidR="00D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678"/>
    <w:multiLevelType w:val="multilevel"/>
    <w:tmpl w:val="B59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35A90"/>
    <w:multiLevelType w:val="multilevel"/>
    <w:tmpl w:val="44B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FC2F37"/>
    <w:multiLevelType w:val="multilevel"/>
    <w:tmpl w:val="00FC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2C4D92"/>
    <w:multiLevelType w:val="multilevel"/>
    <w:tmpl w:val="1B4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BB"/>
    <w:rsid w:val="009657BB"/>
    <w:rsid w:val="00D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32C7-B679-462B-8630-09C9A239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fc5f3b9dd242f5msonormalmrcssattr">
    <w:name w:val="a8fc5f3b9dd242f5msonormal_mr_css_attr"/>
    <w:basedOn w:val="a"/>
    <w:rsid w:val="009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70cbd41b10cf60msonormalcxspmiddlemrcssattr">
    <w:name w:val="ae70cbd41b10cf60msonormalcxspmiddle_mr_css_attr"/>
    <w:basedOn w:val="a"/>
    <w:rsid w:val="009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7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57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7372006" TargetMode="External"/><Relationship Id="rId13" Type="http://schemas.openxmlformats.org/officeDocument/2006/relationships/hyperlink" Target="https://mail.yandex.ru/?uid=373720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7372006" TargetMode="External"/><Relationship Id="rId12" Type="http://schemas.openxmlformats.org/officeDocument/2006/relationships/hyperlink" Target="https://mail.yandex.ru/?uid=37372006" TargetMode="External"/><Relationship Id="rId17" Type="http://schemas.openxmlformats.org/officeDocument/2006/relationships/hyperlink" Target="https://mail.yandex.ru/?uid=37372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?uid=37372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37372006" TargetMode="External"/><Relationship Id="rId11" Type="http://schemas.openxmlformats.org/officeDocument/2006/relationships/hyperlink" Target="https://mail.yandex.ru/?uid=37372006" TargetMode="External"/><Relationship Id="rId5" Type="http://schemas.openxmlformats.org/officeDocument/2006/relationships/hyperlink" Target="https://mail.yandex.ru/?uid=37372006" TargetMode="External"/><Relationship Id="rId15" Type="http://schemas.openxmlformats.org/officeDocument/2006/relationships/hyperlink" Target="https://mail.yandex.ru/?uid=37372006" TargetMode="External"/><Relationship Id="rId10" Type="http://schemas.openxmlformats.org/officeDocument/2006/relationships/hyperlink" Target="https://mail.yandex.ru/?uid=37372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?uid=37372006" TargetMode="External"/><Relationship Id="rId14" Type="http://schemas.openxmlformats.org/officeDocument/2006/relationships/hyperlink" Target="https://mail.yandex.ru/?uid=37372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2021-04-28T13:09:00Z</dcterms:created>
  <dcterms:modified xsi:type="dcterms:W3CDTF">2021-04-28T13:11:00Z</dcterms:modified>
</cp:coreProperties>
</file>