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Основные результаты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Алюминий</w:t>
      </w:r>
    </w:p>
    <w:p w:rsidR="0057545A" w:rsidRPr="0057545A" w:rsidRDefault="0057545A" w:rsidP="0057545A">
      <w:pPr>
        <w:jc w:val="both"/>
      </w:pPr>
      <w:r w:rsidRPr="0057545A">
        <w:t>·         Объем производства алюминия в 4 квартале 2021 года составил 953 тыс. тонн (+1,0% по сравнению с предыдущим кварталом), при этом на долю сибирских алюминиевых заводов приходится 93% от общего объема производства алюминия;</w:t>
      </w:r>
    </w:p>
    <w:p w:rsidR="0057545A" w:rsidRPr="0057545A" w:rsidRDefault="0057545A" w:rsidP="0057545A">
      <w:pPr>
        <w:jc w:val="both"/>
      </w:pPr>
      <w:r w:rsidRPr="0057545A">
        <w:t>·         В 4 квартале 2021 года объем продаж алюминия составил 989 тыс. тонн (+8,1% по сравнению с низкой базой в третьем квартале 2021 года). В 4 квартале 2021 года продажи продукции с добавленной стоимостью (ПДС</w:t>
      </w:r>
      <w:bookmarkStart w:id="0" w:name="49ddc102e1fa1b79_ftnref1"/>
      <w:r w:rsidRPr="0057545A">
        <w:fldChar w:fldCharType="begin"/>
      </w:r>
      <w:r w:rsidRPr="0057545A">
        <w:instrText xml:space="preserve"> HYPERLINK "https://e.mail.ru/" \l "6de2ea969c6ba35c_ftn1" \t "_blank" </w:instrText>
      </w:r>
      <w:r w:rsidRPr="0057545A">
        <w:fldChar w:fldCharType="separate"/>
      </w:r>
      <w:r w:rsidRPr="0057545A">
        <w:rPr>
          <w:rStyle w:val="a3"/>
        </w:rPr>
        <w:t>[1]</w:t>
      </w:r>
      <w:r w:rsidRPr="0057545A">
        <w:fldChar w:fldCharType="end"/>
      </w:r>
      <w:bookmarkEnd w:id="0"/>
      <w:r w:rsidRPr="0057545A">
        <w:t>) составили 527 тыс. тонн (+5,9% по сравнению с предыдущим кварталом), а доля ПДС в общем объеме продаж почти не изменилась и составила 53%;</w:t>
      </w:r>
    </w:p>
    <w:p w:rsidR="0057545A" w:rsidRPr="0057545A" w:rsidRDefault="0057545A" w:rsidP="0057545A">
      <w:pPr>
        <w:jc w:val="both"/>
      </w:pPr>
      <w:r w:rsidRPr="0057545A">
        <w:t>·         В 4 квартале 2021 года европейское направление по-прежнему преобладало в структуре продаж, однако его доля увеличилась до 42% (+3 процентных пункта по сравнению с предыдущим кварталом), в то время как продажи в США, России и странах СНГ снизились до 8% (против 10% в 3 квартале 2021 года) и 28% (против 29% в 3 квартале 2021 года), соответственно;</w:t>
      </w:r>
    </w:p>
    <w:p w:rsidR="0057545A" w:rsidRPr="0057545A" w:rsidRDefault="0057545A" w:rsidP="0057545A">
      <w:pPr>
        <w:jc w:val="both"/>
      </w:pPr>
      <w:r w:rsidRPr="0057545A">
        <w:t>·         В 4 квартале 2021 года средняя цена реализации алюминия</w:t>
      </w:r>
      <w:bookmarkStart w:id="1" w:name="f5fe0d05350b3e68_ftnref2"/>
      <w:r w:rsidRPr="0057545A">
        <w:fldChar w:fldCharType="begin"/>
      </w:r>
      <w:r w:rsidRPr="0057545A">
        <w:instrText xml:space="preserve"> HYPERLINK "https://e.mail.ru/" \l "f7119f1787096a6d_ftn2" \t "_blank" </w:instrText>
      </w:r>
      <w:r w:rsidRPr="0057545A">
        <w:fldChar w:fldCharType="separate"/>
      </w:r>
      <w:r w:rsidRPr="0057545A">
        <w:rPr>
          <w:rStyle w:val="a3"/>
        </w:rPr>
        <w:t>[2]</w:t>
      </w:r>
      <w:r w:rsidRPr="0057545A">
        <w:fldChar w:fldCharType="end"/>
      </w:r>
      <w:bookmarkEnd w:id="1"/>
      <w:r w:rsidRPr="0057545A">
        <w:t> увеличилась на 7,3% по сравнению с предыдущим кварталом и составила 2 927 долл. США за тонну. Увеличение было обусловлено ростом средней цены на алюминий на Лондонской бирже металлов (LME) с учетом котировального периода</w:t>
      </w:r>
      <w:bookmarkStart w:id="2" w:name="e1d8dc83fb9d5073_ftnref3"/>
      <w:r w:rsidRPr="0057545A">
        <w:fldChar w:fldCharType="begin"/>
      </w:r>
      <w:r w:rsidRPr="0057545A">
        <w:instrText xml:space="preserve"> HYPERLINK "https://e.mail.ru/" \l "4ae3bf1533ecc1aa_ftn3" \t "_blank" </w:instrText>
      </w:r>
      <w:r w:rsidRPr="0057545A">
        <w:fldChar w:fldCharType="separate"/>
      </w:r>
      <w:r w:rsidRPr="0057545A">
        <w:rPr>
          <w:rStyle w:val="a3"/>
        </w:rPr>
        <w:t>[3]</w:t>
      </w:r>
      <w:r w:rsidRPr="0057545A">
        <w:fldChar w:fldCharType="end"/>
      </w:r>
      <w:bookmarkEnd w:id="2"/>
      <w:r w:rsidRPr="0057545A">
        <w:t> (+7,7% по сравнению с предыдущим кварталом – до 2 622 долл. США за тонну) и ростом средней реализованной премии (+3,8% по сравнению с предыдущим кварталом – до 305 долл. США за тонну).</w:t>
      </w:r>
    </w:p>
    <w:p w:rsidR="0057545A" w:rsidRPr="0057545A" w:rsidRDefault="0057545A" w:rsidP="0057545A">
      <w:pPr>
        <w:jc w:val="both"/>
      </w:pPr>
      <w:r w:rsidRPr="0057545A">
        <w:t>·         За двенадцать месяцев 2021 года объем производства алюминия составил 3 764 тыс. тонн, почти не изменившись (+0,2%) по сравнению с прошлым годом;</w:t>
      </w:r>
    </w:p>
    <w:p w:rsidR="0057545A" w:rsidRPr="0057545A" w:rsidRDefault="0057545A" w:rsidP="0057545A">
      <w:pPr>
        <w:jc w:val="both"/>
      </w:pPr>
      <w:r w:rsidRPr="0057545A">
        <w:t>·         За двенадцать месяцев 2021 года продажи алюминия снизились на 0,5% по сравнению с прошлым годом, до 3 904 тыс. тонн. В течение указанного периода продажи ПДС увеличились на 18,1% до 2 034 тыс. тонн. Это свидетельствует о восстановлении доли ПДС в общем объеме продаж до 52% за двенадцать месяцев 2021 года по сравнению с падением до 44% в 2020 году, из-за волатильности рынка, вызванной пандемией COVID-19;</w:t>
      </w:r>
    </w:p>
    <w:p w:rsidR="0057545A" w:rsidRPr="0057545A" w:rsidRDefault="0057545A" w:rsidP="0057545A">
      <w:pPr>
        <w:jc w:val="both"/>
      </w:pPr>
      <w:r w:rsidRPr="0057545A">
        <w:t>·         В 2021 году доля Европы в структуре продаж снизилась до 41% (по сравнению с 45% в 2020 году). Сдвиг произошел в сторону российского рынка и стран СНГ, где продажи выросли до 27% (против 23% в 2020 году), а также в сторону США – 8% (против 7% в 2020 году), соответственно;</w:t>
      </w:r>
    </w:p>
    <w:p w:rsidR="0057545A" w:rsidRPr="0057545A" w:rsidRDefault="0057545A" w:rsidP="0057545A">
      <w:pPr>
        <w:jc w:val="both"/>
      </w:pPr>
      <w:r w:rsidRPr="0057545A">
        <w:t xml:space="preserve">·         В 2021 году продажи алюминия в России составили 865 тыс. тонн (+18,8% по сравнению с предыдущим годом). Если учитывать алюминий, направленный на предприятия Дивизиона </w:t>
      </w:r>
      <w:proofErr w:type="spellStart"/>
      <w:r w:rsidRPr="0057545A">
        <w:t>даунстрим</w:t>
      </w:r>
      <w:proofErr w:type="spellEnd"/>
      <w:r w:rsidRPr="0057545A">
        <w:t xml:space="preserve"> Компании по производству фольги, автомобильных дисков и алюминиевого порошка, и прочей продукции, общий объем поставок по России составил 957 тыс. тонн (+18,8% по сравнению с предыдущим годом). В целом поставки на рынок России и СНГ составили рекордные 1,2 млн тонн (+19,6% по сравнению с предыдущим годом);</w:t>
      </w:r>
    </w:p>
    <w:p w:rsidR="0057545A" w:rsidRPr="0057545A" w:rsidRDefault="0057545A" w:rsidP="0057545A">
      <w:pPr>
        <w:jc w:val="both"/>
      </w:pPr>
      <w:r w:rsidRPr="0057545A">
        <w:t xml:space="preserve">·         В 2021 году средняя цена реализации алюминия увеличилась на 41,4% по сравнению с аналогичным периодом прошлого года и составила 2 553 долл. США за тонну. Увеличение было обусловлено как ростом средней цены на алюминий на Лондонской бирже металлов (LME) с учетом котировального периода (+38,9% по сравнению с прошлым годом до 2 303 долл. США за тонну), так и ростом средней реализованной премии (+70,4% по сравнению с прошлым годом до 250 долл. США за тонну). Увеличение реализованной премии в течение двенадцати месяцев 2021 года </w:t>
      </w:r>
      <w:r w:rsidRPr="0057545A">
        <w:lastRenderedPageBreak/>
        <w:t>связано с ростом товарной премии, а также ростом доли ПДС в структуре продаж и увеличением продуктовой премии. В совокупности вышеуказанные факторы отражают существенное изменение условий на глобальном рынке, более подробное описание которых приводятся ниже в разделе «Обзор рынка».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Глинозем</w:t>
      </w:r>
    </w:p>
    <w:p w:rsidR="0057545A" w:rsidRPr="0057545A" w:rsidRDefault="0057545A" w:rsidP="0057545A">
      <w:pPr>
        <w:jc w:val="both"/>
      </w:pPr>
      <w:r w:rsidRPr="0057545A">
        <w:t>·         В 4 квартале 2021 года производство глинозема увеличилось на 3,5% до 2 138 тыс. тонн. На долю российских предприятий компании пришлось 36% от общего объёма производства;</w:t>
      </w:r>
    </w:p>
    <w:p w:rsidR="0057545A" w:rsidRPr="0057545A" w:rsidRDefault="0057545A" w:rsidP="0057545A">
      <w:pPr>
        <w:jc w:val="both"/>
      </w:pPr>
      <w:r w:rsidRPr="0057545A">
        <w:t>·         В 2021 году производство глинозема составило 8 304 тыс. тонн (+1,5% по сравнению с прошлым годом). Производительность глиноземных предприятий Компании в основном соответствовала плану производства.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Бокситы и нефелиновая руда</w:t>
      </w:r>
    </w:p>
    <w:p w:rsidR="0057545A" w:rsidRPr="0057545A" w:rsidRDefault="0057545A" w:rsidP="0057545A">
      <w:pPr>
        <w:jc w:val="both"/>
      </w:pPr>
      <w:r w:rsidRPr="0057545A">
        <w:t xml:space="preserve">·         В 4 квартале 2021 года производство бокситов сократилось на 5,0% до 3 602 тыс. тонн. Снижение в значительной степени связано с сезонным погодным фактором, который повлиял на операционные показатели «Боксит </w:t>
      </w:r>
      <w:proofErr w:type="spellStart"/>
      <w:r w:rsidRPr="0057545A">
        <w:t>Тимана</w:t>
      </w:r>
      <w:proofErr w:type="spellEnd"/>
      <w:r w:rsidRPr="0057545A">
        <w:t xml:space="preserve">» (–39,4% по сравнению с предыдущим кварталом) и </w:t>
      </w:r>
      <w:proofErr w:type="spellStart"/>
      <w:r w:rsidRPr="0057545A">
        <w:t>Североуральского</w:t>
      </w:r>
      <w:proofErr w:type="spellEnd"/>
      <w:r w:rsidRPr="0057545A">
        <w:t xml:space="preserve"> бокситового рудника (–11,3% по сравнению с предыдущим кварталом). Производство нефелина снизилось на 1,1% по сравнению с предыдущим кварталом до 1 108 тыс. тонн;</w:t>
      </w:r>
    </w:p>
    <w:p w:rsidR="0057545A" w:rsidRPr="0057545A" w:rsidRDefault="0057545A" w:rsidP="0057545A">
      <w:pPr>
        <w:jc w:val="both"/>
      </w:pPr>
      <w:r w:rsidRPr="0057545A">
        <w:t>·         Производство бокситов за двенадцать месяцев 2021 года составило 15 031 тыс. тонн (+1,3% по сравнению с предыдущим годом). Объем добычи нефелиновой руды снизился на 4,6% по сравнению с предыдущим годом до 4 390 тыс. тонн.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Обзор рынка</w:t>
      </w:r>
      <w:bookmarkStart w:id="3" w:name="8df8b8864eadb512_ftnref4"/>
      <w:r w:rsidRPr="0057545A">
        <w:fldChar w:fldCharType="begin"/>
      </w:r>
      <w:r w:rsidRPr="0057545A">
        <w:instrText xml:space="preserve"> HYPERLINK "https://e.mail.ru/" \l "4a0603106cdc646b_ftn4" \t "_blank" </w:instrText>
      </w:r>
      <w:r w:rsidRPr="0057545A">
        <w:fldChar w:fldCharType="separate"/>
      </w:r>
      <w:r w:rsidRPr="0057545A">
        <w:rPr>
          <w:rStyle w:val="a3"/>
        </w:rPr>
        <w:t>[4]</w:t>
      </w:r>
      <w:r w:rsidRPr="0057545A">
        <w:fldChar w:fldCharType="end"/>
      </w:r>
      <w:bookmarkEnd w:id="3"/>
    </w:p>
    <w:p w:rsidR="0057545A" w:rsidRPr="0057545A" w:rsidRDefault="0057545A" w:rsidP="0057545A">
      <w:pPr>
        <w:jc w:val="both"/>
      </w:pPr>
      <w:r w:rsidRPr="0057545A">
        <w:t>·         В 2021 году цена на алюминий на LME снова достигла уровня выше 3 000 долл. США за тонну. Это произошло из-за значительного роста цен на природный газ и низких поставок электричества от возобновляемых источников энергии, в результате чего резко выросла цена на электроэнергию в Европе. Кроме того, ряд европейских алюминиевых заводов из-за значительного роста затрат стали работать в убыток. В результате с начала 4 квартала 2021 года были полностью или частично закрыты более 720 тыс. тонн мощностей по производству алюминия в ЕС. Это вызвало значительный рост премий в отношении алюминия в ЕС, которые выросли в среднем на 30% за период с ноября по декабрь 2021 г.</w:t>
      </w:r>
    </w:p>
    <w:p w:rsidR="0057545A" w:rsidRPr="0057545A" w:rsidRDefault="0057545A" w:rsidP="0057545A">
      <w:pPr>
        <w:jc w:val="both"/>
      </w:pPr>
      <w:r w:rsidRPr="0057545A">
        <w:t>·         В 2021 году мировой спрос на первичный алюминий вырос на 8,8% до 69,0 млн тонн. Совокупный спрос без учета Китая увеличился на 12,8% до 28,6 млн тонн, в то время как спрос в Китае увеличился на 6,1% до 40,4 млн тонн. Спрос в Китае, который сдерживался в августе – ноябре из-за политики нормирования электроэнергии, резко вырос в декабре на фоне нормализации электроснабжения.</w:t>
      </w:r>
    </w:p>
    <w:p w:rsidR="0057545A" w:rsidRPr="0057545A" w:rsidRDefault="0057545A" w:rsidP="0057545A">
      <w:pPr>
        <w:jc w:val="both"/>
      </w:pPr>
      <w:r w:rsidRPr="0057545A">
        <w:t xml:space="preserve">·         Мировой объем поставок первичного алюминия продолжил рост в 2021 году, увеличившись на 3,9% по сравнению с прошлым годом до 67,8 млн тонн. В то же время производство в остальном мире увеличилось всего на 2,8% до 28,9 млн тонн. Высокие цены на газ в Европе привели к значительным сбоям в производстве алюминия из-за отрицательной денежной маржи </w:t>
      </w:r>
      <w:r w:rsidRPr="0057545A">
        <w:lastRenderedPageBreak/>
        <w:t>алюминиевых заводов. Девять европейских алюминиевых заводов с производственной мощностью 1,46 млн тонн в год сократили или объявили о сокращении операционных мощностей по производству алюминия на ~720 тыс. тонн в год, начиная с 4 квартала 2021 года, что составляет ~14,4% от общей установленной производственной мощности по выпуску алюминия в регионе (~5,02 млн т/год).</w:t>
      </w:r>
    </w:p>
    <w:p w:rsidR="0057545A" w:rsidRPr="0057545A" w:rsidRDefault="0057545A" w:rsidP="0057545A">
      <w:pPr>
        <w:jc w:val="both"/>
      </w:pPr>
      <w:r w:rsidRPr="0057545A">
        <w:t>·         Рост предложения в Китае значительно замедлился с 7,6% за 9 месяцев 2021 года до 4,7% в 2021 финансовом году, в результате чего предложение в Китае составило 39,0 млн тонн. Несмотря на уменьшение дефицита электроэнергии в Китае и падение внутренних цен на уголь, все еще наблюдается значительное сокращение производственных мощностей по выплавке из-за нехватки электроэнергии в некоторых провинциях, а также из-за двойного контроля за целевыми показателями по декарбонизации. В результате производство первичного алюминия в Китае неуклонно сокращалось с июля 2021 г.</w:t>
      </w:r>
    </w:p>
    <w:p w:rsidR="0057545A" w:rsidRPr="0057545A" w:rsidRDefault="0057545A" w:rsidP="0057545A">
      <w:pPr>
        <w:jc w:val="both"/>
      </w:pPr>
      <w:r w:rsidRPr="0057545A">
        <w:t>·         Экспорт необработанного алюминия и полуфабрикатов из Китая продолжал восстанавливаться в 4 квартале 2021 года, при этом данные за полный 2021 г. демонстрируют уверенный рост на 15,6% по сравнению с прошлым годом до 5,6 млн тонн. Такой результат во многом был обусловлен привлекательными экспортными арбитражными операциями и растущим спросом за рубежом. В то же время импорт в Китай необработанного алюминия и изделий из него, включая первичный металл и необработанный, а также сплавы, составил 3,2 млн тонн в 2021 году., что является новым рекордом</w:t>
      </w:r>
      <w:bookmarkStart w:id="4" w:name="_GoBack"/>
      <w:bookmarkEnd w:id="4"/>
      <w:r w:rsidRPr="0057545A">
        <w:t xml:space="preserve"> по сравнению с 2,7 млн тонн в 2020 году.</w:t>
      </w:r>
    </w:p>
    <w:p w:rsidR="0057545A" w:rsidRPr="0057545A" w:rsidRDefault="0057545A" w:rsidP="0057545A">
      <w:pPr>
        <w:jc w:val="both"/>
      </w:pPr>
      <w:r w:rsidRPr="0057545A">
        <w:t>·         Начиная с марта, в течение 2021 года запасы алюминия в основном сокращались, при этом общие запасы на LME оставались ниже 0,9 млн тонн на конец года. К концу ноября 2021 года объемы металла, находящегося за пределами складов LME (заявленные запасы без варранта), сократились до 447 тыс. тонн.</w:t>
      </w:r>
    </w:p>
    <w:p w:rsidR="0057545A" w:rsidRPr="0057545A" w:rsidRDefault="0057545A" w:rsidP="0057545A">
      <w:pPr>
        <w:jc w:val="both"/>
      </w:pPr>
      <w:r w:rsidRPr="0057545A">
        <w:t xml:space="preserve">·         Региональные премии оставались высокими и продолжили расти: премия на алюминий </w:t>
      </w:r>
      <w:proofErr w:type="spellStart"/>
      <w:r w:rsidRPr="0057545A">
        <w:t>Midwest</w:t>
      </w:r>
      <w:proofErr w:type="spellEnd"/>
      <w:r w:rsidRPr="0057545A">
        <w:t xml:space="preserve"> за тонну составила более 32,0 центов за фунт, а европейская </w:t>
      </w:r>
      <w:proofErr w:type="spellStart"/>
      <w:r w:rsidRPr="0057545A">
        <w:t>Duty-Paid</w:t>
      </w:r>
      <w:proofErr w:type="spellEnd"/>
      <w:r w:rsidRPr="0057545A">
        <w:t xml:space="preserve"> премия составила более 360 долл. США за тонну. Этот рост произошел в условиях повышения котировок продавцами на фоне ожиданий, что премия будет продолжать расти в соответствии с высоким физическим спросом, а также в ожидании возможных дальнейших сбоев выплавки в Европе после значительного роста стоимости электроэнергии.</w:t>
      </w:r>
    </w:p>
    <w:p w:rsidR="0057545A" w:rsidRPr="0057545A" w:rsidRDefault="0057545A" w:rsidP="0057545A">
      <w:pPr>
        <w:jc w:val="both"/>
      </w:pPr>
      <w:r w:rsidRPr="0057545A">
        <w:t>·         В целом на мировом рынке в 2021 году был зафиксирован дефицит в размере 1,2 млн тонн по сравнению с 1,9 млн тонн профицита, наблюдавшегося за аналогичный период 2020 года.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br/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ОСНОВНЫЕ ОПЕРАЦИОННЫЕ ПОКАЗАТЕЛИ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ГРУППОВЫЕ ПРОИЗВОДСТВЕННЫЕ ПОКАЗАТЕЛИ</w:t>
      </w:r>
      <w:bookmarkStart w:id="5" w:name="8ee3f88b15c97cf5_ftnref5"/>
      <w:r w:rsidRPr="0057545A">
        <w:fldChar w:fldCharType="begin"/>
      </w:r>
      <w:r w:rsidRPr="0057545A">
        <w:instrText xml:space="preserve"> HYPERLINK "https://e.mail.ru/" \l "885b328818da0d60_ftn5" \t "_blank" </w:instrText>
      </w:r>
      <w:r w:rsidRPr="0057545A">
        <w:fldChar w:fldCharType="separate"/>
      </w:r>
      <w:r w:rsidRPr="0057545A">
        <w:rPr>
          <w:rStyle w:val="a3"/>
        </w:rPr>
        <w:t>[5]</w:t>
      </w:r>
      <w:r w:rsidRPr="0057545A">
        <w:fldChar w:fldCharType="end"/>
      </w:r>
      <w:bookmarkEnd w:id="5"/>
    </w:p>
    <w:tbl>
      <w:tblPr>
        <w:tblW w:w="9407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948"/>
        <w:gridCol w:w="948"/>
        <w:gridCol w:w="1337"/>
        <w:gridCol w:w="1043"/>
        <w:gridCol w:w="1043"/>
        <w:gridCol w:w="1383"/>
      </w:tblGrid>
      <w:tr w:rsidR="0057545A" w:rsidRPr="0057545A" w:rsidTr="0057545A">
        <w:trPr>
          <w:trHeight w:val="600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285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Алюминий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953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943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1,0%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3 764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3 755</w:t>
            </w:r>
          </w:p>
        </w:tc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0,2%</w:t>
            </w:r>
          </w:p>
        </w:tc>
      </w:tr>
      <w:tr w:rsidR="0057545A" w:rsidRPr="0057545A" w:rsidTr="0057545A">
        <w:trPr>
          <w:trHeight w:val="285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lastRenderedPageBreak/>
              <w:t>  коэффициент загрузки</w:t>
            </w:r>
            <w:bookmarkStart w:id="6" w:name="de2fe0e89dbec224_ftnref6"/>
            <w:r w:rsidRPr="0057545A">
              <w:fldChar w:fldCharType="begin"/>
            </w:r>
            <w:r w:rsidRPr="0057545A">
              <w:instrText xml:space="preserve"> HYPERLINK "https://e.mail.ru/" \l "d990eab0e0a732f1_ftn6"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[6]</w:t>
            </w:r>
            <w:r w:rsidRPr="0057545A">
              <w:fldChar w:fldCharType="end"/>
            </w:r>
            <w:bookmarkEnd w:id="6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99%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98%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1пп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99%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96%</w:t>
            </w:r>
          </w:p>
        </w:tc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3пп</w:t>
            </w:r>
          </w:p>
        </w:tc>
      </w:tr>
      <w:tr w:rsidR="0057545A" w:rsidRPr="0057545A" w:rsidTr="0057545A">
        <w:trPr>
          <w:trHeight w:val="285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Алюминиевая фольга и упаковка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27,7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27,4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1,1%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109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103</w:t>
            </w:r>
          </w:p>
        </w:tc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5,2%</w:t>
            </w:r>
          </w:p>
        </w:tc>
      </w:tr>
      <w:tr w:rsidR="0057545A" w:rsidRPr="0057545A" w:rsidTr="0057545A">
        <w:trPr>
          <w:trHeight w:val="285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Глинозем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2 138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2 064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3,5%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8 304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8 182</w:t>
            </w:r>
          </w:p>
        </w:tc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1,5%</w:t>
            </w:r>
          </w:p>
        </w:tc>
      </w:tr>
      <w:tr w:rsidR="0057545A" w:rsidRPr="0057545A" w:rsidTr="0057545A">
        <w:trPr>
          <w:trHeight w:val="285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Бокситы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3 602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3 792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-5,0%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15 031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14 838</w:t>
            </w:r>
          </w:p>
        </w:tc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1,3%</w:t>
            </w:r>
          </w:p>
        </w:tc>
      </w:tr>
      <w:tr w:rsidR="0057545A" w:rsidRPr="0057545A" w:rsidTr="0057545A">
        <w:trPr>
          <w:trHeight w:val="285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Нефелиновая руда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1 108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1 120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-1,1%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4 390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4 599</w:t>
            </w:r>
          </w:p>
        </w:tc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-4,6%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ГРУППОВЫЕ ДАННЫЕ ПО РЕАЛИЗАЦИИ</w:t>
      </w:r>
    </w:p>
    <w:tbl>
      <w:tblPr>
        <w:tblW w:w="938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948"/>
        <w:gridCol w:w="948"/>
        <w:gridCol w:w="1337"/>
        <w:gridCol w:w="1042"/>
        <w:gridCol w:w="1042"/>
        <w:gridCol w:w="1382"/>
      </w:tblGrid>
      <w:tr w:rsidR="0057545A" w:rsidRPr="0057545A" w:rsidTr="0057545A">
        <w:trPr>
          <w:trHeight w:val="600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Реализация алюминия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989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915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8,1%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3 904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3 926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-0,5%</w:t>
            </w:r>
          </w:p>
        </w:tc>
      </w:tr>
      <w:tr w:rsidR="0057545A" w:rsidRPr="0057545A" w:rsidTr="0057545A">
        <w:trPr>
          <w:trHeight w:val="493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в том числе</w:t>
            </w:r>
          </w:p>
          <w:p w:rsidR="0057545A" w:rsidRPr="0057545A" w:rsidRDefault="0057545A" w:rsidP="0057545A">
            <w:pPr>
              <w:jc w:val="both"/>
            </w:pPr>
            <w:r w:rsidRPr="0057545A">
              <w:t xml:space="preserve">реализация алюминия, произведенного на </w:t>
            </w:r>
            <w:proofErr w:type="spellStart"/>
            <w:r w:rsidRPr="0057545A">
              <w:t>БоАЗе</w:t>
            </w:r>
            <w:proofErr w:type="spellEnd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63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6,7%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256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281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-8,8%</w:t>
            </w:r>
          </w:p>
        </w:tc>
      </w:tr>
      <w:tr w:rsidR="0057545A" w:rsidRPr="0057545A" w:rsidTr="0057545A">
        <w:trPr>
          <w:trHeight w:val="570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  <w:p w:rsidR="0057545A" w:rsidRPr="0057545A" w:rsidRDefault="0057545A" w:rsidP="0057545A">
            <w:pPr>
              <w:jc w:val="both"/>
            </w:pPr>
            <w:r w:rsidRPr="0057545A">
              <w:t>реализация алюминия, произведенного третьими сторонами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81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78,7%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203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66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208,8%</w:t>
            </w:r>
          </w:p>
        </w:tc>
      </w:tr>
      <w:tr w:rsidR="0057545A" w:rsidRPr="0057545A" w:rsidTr="0057545A">
        <w:trPr>
          <w:trHeight w:val="50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Цена реализации, долл. США/тонну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2 927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2 729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7,3%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2 553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1 805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41,4%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Цена алюминия на LME с учетом котировального периода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2 622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2 435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7,7%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2 303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1 658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38,9%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Реализованная премия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305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294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3,8%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250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147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70,4%</w:t>
            </w:r>
          </w:p>
        </w:tc>
      </w:tr>
      <w:tr w:rsidR="0057545A" w:rsidRPr="0057545A" w:rsidTr="0057545A">
        <w:trPr>
          <w:trHeight w:val="583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Товарная премия</w:t>
            </w:r>
          </w:p>
          <w:p w:rsidR="0057545A" w:rsidRPr="0057545A" w:rsidRDefault="0057545A" w:rsidP="0057545A">
            <w:pPr>
              <w:jc w:val="both"/>
            </w:pPr>
            <w:r w:rsidRPr="0057545A">
              <w:t>(100% продаж)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159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149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6,4%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125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73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71,2%</w:t>
            </w:r>
          </w:p>
        </w:tc>
      </w:tr>
      <w:tr w:rsidR="0057545A" w:rsidRPr="0057545A" w:rsidTr="0057545A">
        <w:trPr>
          <w:trHeight w:val="563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Продуктовая премия</w:t>
            </w:r>
          </w:p>
          <w:p w:rsidR="0057545A" w:rsidRPr="0057545A" w:rsidRDefault="0057545A" w:rsidP="0057545A">
            <w:pPr>
              <w:jc w:val="both"/>
            </w:pPr>
            <w:r w:rsidRPr="0057545A">
              <w:t>  (100% продаж)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146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145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1,1%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124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74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67,5%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Продуктовая премия,</w:t>
            </w:r>
          </w:p>
          <w:p w:rsidR="0057545A" w:rsidRPr="0057545A" w:rsidRDefault="0057545A" w:rsidP="0057545A">
            <w:pPr>
              <w:jc w:val="both"/>
            </w:pPr>
            <w:r w:rsidRPr="0057545A">
              <w:t>не включая торговую премию (только ПДС)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270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264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2,2%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236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167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41,7%</w:t>
            </w:r>
          </w:p>
        </w:tc>
      </w:tr>
      <w:tr w:rsidR="0057545A" w:rsidRPr="0057545A" w:rsidTr="0057545A">
        <w:trPr>
          <w:trHeight w:val="50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lastRenderedPageBreak/>
              <w:t>Реализация ПДС в тоннах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527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498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5,9%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2 034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1 722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18,1%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Доля ПДС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53%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54%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-1пп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52%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44%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8пп</w:t>
            </w:r>
          </w:p>
        </w:tc>
      </w:tr>
      <w:tr w:rsidR="0057545A" w:rsidRPr="0057545A" w:rsidTr="0057545A">
        <w:trPr>
          <w:trHeight w:val="50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06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 xml:space="preserve">География </w:t>
            </w:r>
            <w:proofErr w:type="gramStart"/>
            <w:r w:rsidRPr="0057545A">
              <w:t>продаж,%</w:t>
            </w:r>
            <w:proofErr w:type="gramEnd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Европа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42%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39%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3пп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41%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45%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-4пп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Россия и СНГ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28%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29%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-1пп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23%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4пп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Азия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22%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22%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24%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-1пп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Америка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8%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10%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-2пп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7%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1пп</w:t>
            </w:r>
          </w:p>
        </w:tc>
      </w:tr>
      <w:tr w:rsidR="0057545A" w:rsidRPr="0057545A" w:rsidTr="0057545A">
        <w:trPr>
          <w:trHeight w:val="50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Продажи глинозема третьим лицам</w:t>
            </w:r>
            <w:bookmarkStart w:id="7" w:name="8a5da0eaf0db349f_ftnref7"/>
            <w:r w:rsidRPr="0057545A">
              <w:fldChar w:fldCharType="begin"/>
            </w:r>
            <w:r w:rsidRPr="0057545A">
              <w:instrText xml:space="preserve"> HYPERLINK "https://e.mail.ru/" \l "2d631aae8d8aa56e_ftn7"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[7]</w:t>
            </w:r>
            <w:r w:rsidRPr="0057545A">
              <w:fldChar w:fldCharType="end"/>
            </w:r>
            <w:bookmarkEnd w:id="7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392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455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-13,8%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1 677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1 729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-3,0%</w:t>
            </w:r>
          </w:p>
        </w:tc>
      </w:tr>
      <w:tr w:rsidR="0057545A" w:rsidRPr="0057545A" w:rsidTr="0057545A">
        <w:trPr>
          <w:trHeight w:val="375"/>
        </w:trPr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Продажи бокситов третьим лицам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20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-56,5%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178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118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50.8%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ГРУППОВЫЕ ДАННЫЕ ПО ВНЕШНИМ ЗАКУПКАМ</w:t>
      </w:r>
    </w:p>
    <w:tbl>
      <w:tblPr>
        <w:tblW w:w="940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948"/>
        <w:gridCol w:w="948"/>
        <w:gridCol w:w="1337"/>
        <w:gridCol w:w="1043"/>
        <w:gridCol w:w="1043"/>
        <w:gridCol w:w="1389"/>
      </w:tblGrid>
      <w:tr w:rsidR="0057545A" w:rsidRPr="0057545A" w:rsidTr="0057545A">
        <w:trPr>
          <w:trHeight w:val="728"/>
        </w:trPr>
        <w:tc>
          <w:tcPr>
            <w:tcW w:w="2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345"/>
        </w:trPr>
        <w:tc>
          <w:tcPr>
            <w:tcW w:w="2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Глинозем</w:t>
            </w:r>
            <w:bookmarkStart w:id="8" w:name="97fe08b67fc8e28e_ftnref8"/>
            <w:r w:rsidRPr="0057545A">
              <w:fldChar w:fldCharType="begin"/>
            </w:r>
            <w:r w:rsidRPr="0057545A">
              <w:instrText xml:space="preserve"> HYPERLINK "https://e.mail.ru/" \l "217632e3000f657f_ftn8"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[8]</w:t>
            </w:r>
            <w:r w:rsidRPr="0057545A">
              <w:fldChar w:fldCharType="end"/>
            </w:r>
            <w:bookmarkEnd w:id="8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213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202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5,4%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836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682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22,6%</w:t>
            </w:r>
          </w:p>
        </w:tc>
      </w:tr>
      <w:tr w:rsidR="0057545A" w:rsidRPr="0057545A" w:rsidTr="0057545A">
        <w:trPr>
          <w:trHeight w:val="345"/>
        </w:trPr>
        <w:tc>
          <w:tcPr>
            <w:tcW w:w="2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Бокситы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1 386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1 387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-0,1%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5 152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4 847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6,3%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br/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ПРОИЗВОДСТВО АЛЮМИНИЯ</w:t>
      </w:r>
    </w:p>
    <w:tbl>
      <w:tblPr>
        <w:tblW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976"/>
        <w:gridCol w:w="976"/>
        <w:gridCol w:w="1337"/>
        <w:gridCol w:w="1083"/>
        <w:gridCol w:w="1087"/>
        <w:gridCol w:w="1337"/>
      </w:tblGrid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Россия (Сибирь)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Братский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0,6%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1 009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1 004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0,5%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Красноярский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256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0,6%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1 021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-0,2%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Саяногорский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136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135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0,9%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536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529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1,4%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lastRenderedPageBreak/>
              <w:t>Новокузнецкий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54,3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53,8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0,9%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214.8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214.9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-0,1%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Иркутский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107,3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106,1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1,1%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0,4%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Хакасский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76,1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74,9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1,6%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303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308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-1,3%</w:t>
            </w:r>
          </w:p>
        </w:tc>
      </w:tr>
      <w:tr w:rsidR="0057545A" w:rsidRPr="0057545A" w:rsidTr="0057545A">
        <w:trPr>
          <w:trHeight w:val="78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7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Россия — другие регионы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Волгоградский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18,0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17,9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0,4%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70.2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69.9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0,8%</w:t>
            </w:r>
          </w:p>
        </w:tc>
      </w:tr>
      <w:tr w:rsidR="0057545A" w:rsidRPr="0057545A" w:rsidTr="0057545A">
        <w:trPr>
          <w:trHeight w:val="254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Кандалакшский алюминиевый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16,3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15,6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4,7%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-10,1%</w:t>
            </w:r>
          </w:p>
        </w:tc>
      </w:tr>
      <w:tr w:rsidR="0057545A" w:rsidRPr="0057545A" w:rsidTr="0057545A">
        <w:trPr>
          <w:trHeight w:val="7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Швеция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23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Kubikenborg</w:t>
            </w:r>
            <w:proofErr w:type="spellEnd"/>
            <w:r w:rsidRPr="0057545A">
              <w:t xml:space="preserve"> </w:t>
            </w:r>
            <w:proofErr w:type="spellStart"/>
            <w:r w:rsidRPr="0057545A">
              <w:t>Aluminium</w:t>
            </w:r>
            <w:proofErr w:type="spellEnd"/>
            <w:r w:rsidRPr="0057545A">
              <w:t xml:space="preserve"> (KUBAL)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32,2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30,8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4,7%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5,8%</w:t>
            </w:r>
          </w:p>
        </w:tc>
      </w:tr>
      <w:tr w:rsidR="0057545A" w:rsidRPr="0057545A" w:rsidTr="0057545A">
        <w:trPr>
          <w:trHeight w:val="60"/>
        </w:trPr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70"/>
        </w:trPr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Итого производство</w:t>
            </w:r>
            <w:bookmarkStart w:id="9" w:name="442bd8b8d2e57011_ftnref9"/>
            <w:r w:rsidRPr="0057545A">
              <w:fldChar w:fldCharType="begin"/>
            </w:r>
            <w:r w:rsidRPr="0057545A">
              <w:instrText xml:space="preserve"> HYPERLINK "https://e.mail.ru/" \l "1ed7f2de37820904_ftn9"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[9]</w:t>
            </w:r>
            <w:r w:rsidRPr="0057545A">
              <w:fldChar w:fldCharType="end"/>
            </w:r>
            <w:bookmarkEnd w:id="9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0,2%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Производство фольги и упаковочной продукции</w:t>
      </w:r>
    </w:p>
    <w:tbl>
      <w:tblPr>
        <w:tblW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978"/>
        <w:gridCol w:w="979"/>
        <w:gridCol w:w="1337"/>
        <w:gridCol w:w="1093"/>
        <w:gridCol w:w="1093"/>
        <w:gridCol w:w="1337"/>
      </w:tblGrid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Россия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САЯНАЛ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9,8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4,1%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39,3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6,0%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Уральская фольга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7,77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7,73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0,6%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30,4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17,2%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Саянская фольга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16,0%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5,7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14,1%</w:t>
            </w:r>
          </w:p>
        </w:tc>
      </w:tr>
      <w:tr w:rsidR="0057545A" w:rsidRPr="0057545A" w:rsidTr="0057545A">
        <w:trPr>
          <w:trHeight w:val="162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7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Армения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АРМЕНАЛ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8,1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8,5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-4,4%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33,5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35,5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-5,6%</w:t>
            </w:r>
          </w:p>
        </w:tc>
      </w:tr>
      <w:tr w:rsidR="0057545A" w:rsidRPr="0057545A" w:rsidTr="0057545A">
        <w:trPr>
          <w:trHeight w:val="174"/>
        </w:trPr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Итого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5,2%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lastRenderedPageBreak/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Производство прочей алюминиевой продукции и кремния</w:t>
      </w:r>
    </w:p>
    <w:tbl>
      <w:tblPr>
        <w:tblW w:w="9422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66"/>
        <w:gridCol w:w="948"/>
        <w:gridCol w:w="948"/>
        <w:gridCol w:w="1337"/>
        <w:gridCol w:w="1208"/>
        <w:gridCol w:w="1208"/>
        <w:gridCol w:w="1352"/>
      </w:tblGrid>
      <w:tr w:rsidR="0057545A" w:rsidRPr="0057545A" w:rsidTr="0057545A">
        <w:trPr>
          <w:trHeight w:val="600"/>
        </w:trPr>
        <w:tc>
          <w:tcPr>
            <w:tcW w:w="24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300"/>
        </w:trPr>
        <w:tc>
          <w:tcPr>
            <w:tcW w:w="2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Вторичные сплавы</w:t>
            </w:r>
          </w:p>
        </w:tc>
        <w:tc>
          <w:tcPr>
            <w:tcW w:w="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13,6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13,2</w:t>
            </w: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3,3%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51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103,1%</w:t>
            </w:r>
          </w:p>
        </w:tc>
      </w:tr>
      <w:tr w:rsidR="0057545A" w:rsidRPr="0057545A" w:rsidTr="0057545A">
        <w:trPr>
          <w:trHeight w:val="300"/>
        </w:trPr>
        <w:tc>
          <w:tcPr>
            <w:tcW w:w="2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Кремний</w:t>
            </w:r>
          </w:p>
        </w:tc>
        <w:tc>
          <w:tcPr>
            <w:tcW w:w="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11,6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9,7</w:t>
            </w: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19,2%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34,5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27,1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27,2%</w:t>
            </w:r>
          </w:p>
        </w:tc>
      </w:tr>
      <w:tr w:rsidR="0057545A" w:rsidRPr="0057545A" w:rsidTr="0057545A">
        <w:trPr>
          <w:trHeight w:val="300"/>
        </w:trPr>
        <w:tc>
          <w:tcPr>
            <w:tcW w:w="2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Порошки</w:t>
            </w:r>
          </w:p>
        </w:tc>
        <w:tc>
          <w:tcPr>
            <w:tcW w:w="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7,9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8,1</w:t>
            </w: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-1,3%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30,3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22,4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34,9%</w:t>
            </w:r>
          </w:p>
        </w:tc>
      </w:tr>
      <w:tr w:rsidR="0057545A" w:rsidRPr="0057545A" w:rsidTr="0057545A">
        <w:trPr>
          <w:trHeight w:val="300"/>
        </w:trPr>
        <w:tc>
          <w:tcPr>
            <w:tcW w:w="2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Колесные диски</w:t>
            </w:r>
            <w:r w:rsidRPr="0057545A">
              <w:br/>
              <w:t>(тыс. ед.)</w:t>
            </w:r>
          </w:p>
        </w:tc>
        <w:tc>
          <w:tcPr>
            <w:tcW w:w="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910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668</w:t>
            </w: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36,2%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3 034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2 140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41,8%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br/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ПРОИЗВОДСТВО ГЛИНОЗЕМА</w:t>
      </w:r>
    </w:p>
    <w:p w:rsidR="0057545A" w:rsidRPr="0057545A" w:rsidRDefault="0057545A" w:rsidP="0057545A">
      <w:pPr>
        <w:jc w:val="both"/>
      </w:pPr>
      <w:r w:rsidRPr="0057545A">
        <w:t> </w:t>
      </w:r>
    </w:p>
    <w:tbl>
      <w:tblPr>
        <w:tblW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978"/>
        <w:gridCol w:w="978"/>
        <w:gridCol w:w="1337"/>
        <w:gridCol w:w="1092"/>
        <w:gridCol w:w="1092"/>
        <w:gridCol w:w="1337"/>
      </w:tblGrid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Ирландия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Aughinish</w:t>
            </w:r>
            <w:proofErr w:type="spellEnd"/>
            <w:r w:rsidRPr="0057545A">
              <w:t xml:space="preserve"> </w:t>
            </w:r>
            <w:proofErr w:type="spellStart"/>
            <w:r w:rsidRPr="0057545A">
              <w:t>Alumina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504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457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10,3%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1 878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1 883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-0,2%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Ямайка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Windalco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112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-7,6%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448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523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-14,4%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Украина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Николаевский глиноземный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466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438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6,5%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1 769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1 725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2,6%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Россия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Богословский глиноземный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243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-5,9%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977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990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-1,4%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lastRenderedPageBreak/>
              <w:t>Ачинский</w:t>
            </w:r>
            <w:proofErr w:type="spellEnd"/>
            <w:r w:rsidRPr="0057545A">
              <w:t xml:space="preserve"> глиноземный комбинат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234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226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3,6%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907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900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0,8%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Уральский глиноземный завод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232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231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0,7%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917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916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0,1%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ПГЛЗ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1,5%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253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279,3%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Гвинея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 xml:space="preserve">Глиноземный завод </w:t>
            </w:r>
            <w:proofErr w:type="spellStart"/>
            <w:r w:rsidRPr="0057545A">
              <w:t>Friguia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108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12,6%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414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439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-5,7%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Австралия (СП)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Queensland</w:t>
            </w:r>
            <w:proofErr w:type="spellEnd"/>
            <w:r w:rsidRPr="0057545A">
              <w:t xml:space="preserve"> </w:t>
            </w:r>
            <w:proofErr w:type="spellStart"/>
            <w:r w:rsidRPr="0057545A">
              <w:t>Alumina</w:t>
            </w:r>
            <w:proofErr w:type="spellEnd"/>
            <w:r w:rsidRPr="0057545A">
              <w:t xml:space="preserve"> </w:t>
            </w:r>
            <w:proofErr w:type="spellStart"/>
            <w:r w:rsidRPr="0057545A">
              <w:t>Ltd</w:t>
            </w:r>
            <w:bookmarkStart w:id="10" w:name="5eea4f967669c703_ftnref10"/>
            <w:proofErr w:type="spellEnd"/>
            <w:r w:rsidRPr="0057545A">
              <w:fldChar w:fldCharType="begin"/>
            </w:r>
            <w:r w:rsidRPr="0057545A">
              <w:instrText xml:space="preserve"> HYPERLINK "https://e.mail.ru/" \l "e8763265061886a0_ftn10"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[10]</w:t>
            </w:r>
            <w:r w:rsidRPr="0057545A">
              <w:fldChar w:fldCharType="end"/>
            </w:r>
            <w:bookmarkEnd w:id="10"/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182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184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-0,7%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742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740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0,3%</w:t>
            </w:r>
          </w:p>
        </w:tc>
      </w:tr>
      <w:tr w:rsidR="0057545A" w:rsidRPr="0057545A" w:rsidTr="0057545A">
        <w:trPr>
          <w:trHeight w:val="285"/>
        </w:trPr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Итого производство глинозема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1,5%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br/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ДОБЫЧА БОКСИТОВ</w:t>
      </w:r>
    </w:p>
    <w:p w:rsidR="0057545A" w:rsidRPr="0057545A" w:rsidRDefault="0057545A" w:rsidP="0057545A">
      <w:pPr>
        <w:jc w:val="both"/>
      </w:pPr>
      <w:r w:rsidRPr="0057545A">
        <w:t> </w:t>
      </w:r>
    </w:p>
    <w:tbl>
      <w:tblPr>
        <w:tblW w:w="954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948"/>
        <w:gridCol w:w="948"/>
        <w:gridCol w:w="1353"/>
        <w:gridCol w:w="1218"/>
        <w:gridCol w:w="1218"/>
        <w:gridCol w:w="1412"/>
      </w:tblGrid>
      <w:tr w:rsidR="0057545A" w:rsidRPr="0057545A" w:rsidTr="0057545A">
        <w:trPr>
          <w:trHeight w:val="300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300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Ямайка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Windalco</w:t>
            </w:r>
            <w:proofErr w:type="spellEnd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428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369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15,9%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1 863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1 752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6,4%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Россия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Северный Урал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547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617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-11,3%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2 274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2 260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0,6%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Тиман</w:t>
            </w:r>
            <w:proofErr w:type="spellEnd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674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1 113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-39,4%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3 405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3 310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2,9%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Гвинея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Friguia</w:t>
            </w:r>
            <w:proofErr w:type="spellEnd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382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378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1,2%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1 544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1 423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8,5%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Kindia</w:t>
            </w:r>
            <w:proofErr w:type="spellEnd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635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631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0,6%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2 652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2 941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-9,8%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lastRenderedPageBreak/>
              <w:t>Dian-Dian</w:t>
            </w:r>
            <w:proofErr w:type="spellEnd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936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685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36,6%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3 293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3 071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7,3%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Гайана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rPr>
                <w:lang w:val="en-US"/>
              </w:rPr>
              <w:t>Bauxite Company of Guyana Inc.</w:t>
            </w:r>
            <w:bookmarkStart w:id="11" w:name="c7cd001a23d70a78_ftnref11"/>
            <w:r w:rsidRPr="0057545A">
              <w:fldChar w:fldCharType="begin"/>
            </w:r>
            <w:r w:rsidRPr="0057545A">
              <w:rPr>
                <w:lang w:val="en-US"/>
              </w:rPr>
              <w:instrText xml:space="preserve"> HYPERLINK "https://e.mail.ru/" \l "aa2102ed5a1addab_ftn11"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[11]</w:t>
            </w:r>
            <w:r w:rsidRPr="0057545A">
              <w:fldChar w:fldCharType="end"/>
            </w:r>
            <w:bookmarkEnd w:id="11"/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</w:t>
            </w:r>
          </w:p>
        </w:tc>
        <w:tc>
          <w:tcPr>
            <w:tcW w:w="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</w:t>
            </w:r>
          </w:p>
        </w:tc>
      </w:tr>
      <w:tr w:rsidR="0057545A" w:rsidRPr="0057545A" w:rsidTr="0057545A">
        <w:trPr>
          <w:trHeight w:val="285"/>
        </w:trPr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Итого добыча бокситов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3 602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3 792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-5,0%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15 031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14 838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1,3%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Объем производства нефелиновой руды</w:t>
      </w:r>
      <w:bookmarkStart w:id="12" w:name="c445b84077a5b409_ftnref12"/>
      <w:r w:rsidRPr="0057545A">
        <w:fldChar w:fldCharType="begin"/>
      </w:r>
      <w:r w:rsidRPr="0057545A">
        <w:instrText xml:space="preserve"> HYPERLINK "https://e.mail.ru/" \l "8d7e1a8b7ac91eae_ftn12" \t "_blank" </w:instrText>
      </w:r>
      <w:r w:rsidRPr="0057545A">
        <w:fldChar w:fldCharType="separate"/>
      </w:r>
      <w:r w:rsidRPr="0057545A">
        <w:rPr>
          <w:rStyle w:val="a3"/>
        </w:rPr>
        <w:t>[12]</w:t>
      </w:r>
      <w:r w:rsidRPr="0057545A">
        <w:fldChar w:fldCharType="end"/>
      </w:r>
      <w:bookmarkEnd w:id="12"/>
    </w:p>
    <w:tbl>
      <w:tblPr>
        <w:tblW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976"/>
        <w:gridCol w:w="1065"/>
        <w:gridCol w:w="1337"/>
        <w:gridCol w:w="1086"/>
        <w:gridCol w:w="1175"/>
        <w:gridCol w:w="1337"/>
      </w:tblGrid>
      <w:tr w:rsidR="0057545A" w:rsidRPr="0057545A" w:rsidTr="0057545A">
        <w:trPr>
          <w:trHeight w:val="1124"/>
        </w:trPr>
        <w:tc>
          <w:tcPr>
            <w:tcW w:w="2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435"/>
        </w:trPr>
        <w:tc>
          <w:tcPr>
            <w:tcW w:w="2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Кия-</w:t>
            </w:r>
            <w:proofErr w:type="spellStart"/>
            <w:r w:rsidRPr="0057545A">
              <w:t>Шалтырский</w:t>
            </w:r>
            <w:proofErr w:type="spellEnd"/>
          </w:p>
          <w:p w:rsidR="0057545A" w:rsidRPr="0057545A" w:rsidRDefault="0057545A" w:rsidP="0057545A">
            <w:pPr>
              <w:jc w:val="both"/>
            </w:pPr>
            <w:r w:rsidRPr="0057545A">
              <w:t>нефелиновый рудник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1 108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1 120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-1,1%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4 390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4 599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-4,6%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br/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РЕЗУЛЬТАТЫ ДЕЯТЕЛЬНОСТИ СОВМЕСТНОГО ПРЕДПРИЯТИЯ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06"/>
        <w:gridCol w:w="962"/>
        <w:gridCol w:w="962"/>
        <w:gridCol w:w="1337"/>
        <w:gridCol w:w="1047"/>
        <w:gridCol w:w="1047"/>
        <w:gridCol w:w="1337"/>
      </w:tblGrid>
      <w:tr w:rsidR="0057545A" w:rsidRPr="0057545A" w:rsidTr="0057545A">
        <w:trPr>
          <w:trHeight w:val="300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(тыс. тонн)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Доля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4-й квартал 2021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3-й квартал 2021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квартал к кварталу, 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12 месяцев 2020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Изменение, год к году, %</w:t>
            </w:r>
          </w:p>
        </w:tc>
      </w:tr>
      <w:tr w:rsidR="0057545A" w:rsidRPr="0057545A" w:rsidTr="0057545A">
        <w:trPr>
          <w:trHeight w:val="300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Богучанская</w:t>
            </w:r>
            <w:proofErr w:type="spellEnd"/>
            <w:r w:rsidRPr="0057545A">
              <w:t xml:space="preserve"> ГЭС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</w:tr>
      <w:tr w:rsidR="0057545A" w:rsidRPr="0057545A" w:rsidTr="0057545A">
        <w:trPr>
          <w:trHeight w:val="285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 xml:space="preserve">Выработка электроэнергии, </w:t>
            </w:r>
            <w:proofErr w:type="spellStart"/>
            <w:r w:rsidRPr="0057545A">
              <w:t>МВт·ч</w:t>
            </w:r>
            <w:bookmarkStart w:id="13" w:name="1817e83e24892666_ftnref13"/>
            <w:proofErr w:type="spellEnd"/>
            <w:r w:rsidRPr="0057545A">
              <w:fldChar w:fldCharType="begin"/>
            </w:r>
            <w:r w:rsidRPr="0057545A">
              <w:instrText xml:space="preserve"> HYPERLINK "https://e.mail.ru/" \l "39abea8dcde5ac31_ftn13"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[13]</w:t>
            </w:r>
            <w:r w:rsidRPr="0057545A">
              <w:fldChar w:fldCharType="end"/>
            </w:r>
            <w:bookmarkEnd w:id="13"/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50%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4 717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3 112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51,6%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17 238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17 638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-2,3%</w:t>
            </w:r>
          </w:p>
        </w:tc>
      </w:tr>
      <w:tr w:rsidR="0057545A" w:rsidRPr="0057545A" w:rsidTr="0057545A">
        <w:trPr>
          <w:trHeight w:val="285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proofErr w:type="spellStart"/>
            <w:r w:rsidRPr="0057545A">
              <w:t>Богучанский</w:t>
            </w:r>
            <w:proofErr w:type="spellEnd"/>
            <w:r w:rsidRPr="0057545A">
              <w:t xml:space="preserve"> алюминиевый завод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749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Объем производства алюминия (тыс. тонн)</w:t>
            </w:r>
            <w:bookmarkStart w:id="14" w:name="76f13fd6ba7ab2f_ftnref14"/>
            <w:r w:rsidRPr="0057545A">
              <w:fldChar w:fldCharType="begin"/>
            </w:r>
            <w:r w:rsidRPr="0057545A">
              <w:instrText xml:space="preserve"> HYPERLINK "https://e.mail.ru/" \l "cdfdea7389aa1c9c_ftn14"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[14]</w:t>
            </w:r>
            <w:r w:rsidRPr="0057545A">
              <w:fldChar w:fldCharType="end"/>
            </w:r>
            <w:bookmarkEnd w:id="14"/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50%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74,0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73,7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0,4%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292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290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0,7%</w:t>
            </w:r>
          </w:p>
        </w:tc>
      </w:tr>
      <w:tr w:rsidR="0057545A" w:rsidRPr="0057545A" w:rsidTr="0057545A">
        <w:trPr>
          <w:trHeight w:val="300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300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 xml:space="preserve"> «Богатырь </w:t>
            </w:r>
            <w:proofErr w:type="spellStart"/>
            <w:r w:rsidRPr="0057545A">
              <w:t>Комир</w:t>
            </w:r>
            <w:proofErr w:type="spellEnd"/>
            <w:r w:rsidRPr="0057545A">
              <w:t>» и «Богатырь Транс»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 </w:t>
            </w:r>
          </w:p>
        </w:tc>
      </w:tr>
      <w:tr w:rsidR="0057545A" w:rsidRPr="0057545A" w:rsidTr="0057545A">
        <w:trPr>
          <w:trHeight w:val="285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Добыча угля (тыс. тонн)</w:t>
            </w:r>
            <w:bookmarkStart w:id="15" w:name="5897582633698134_ftnref15"/>
            <w:r w:rsidRPr="0057545A">
              <w:fldChar w:fldCharType="begin"/>
            </w:r>
            <w:r w:rsidRPr="0057545A">
              <w:instrText xml:space="preserve"> HYPERLINK "https://e.mail.ru/" \l "7cd5c64ac1e87cd7_ftn15"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[15]</w:t>
            </w:r>
            <w:r w:rsidRPr="0057545A">
              <w:fldChar w:fldCharType="end"/>
            </w:r>
            <w:bookmarkEnd w:id="15"/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50%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5 820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5 374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8,3%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22 316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21 669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3,0%</w:t>
            </w:r>
          </w:p>
        </w:tc>
      </w:tr>
      <w:tr w:rsidR="0057545A" w:rsidRPr="0057545A" w:rsidTr="0057545A">
        <w:trPr>
          <w:trHeight w:val="633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Объемы перевозок</w:t>
            </w:r>
            <w:r w:rsidRPr="0057545A">
              <w:br/>
              <w:t>(тыс. тонн перевозок)</w:t>
            </w:r>
            <w:bookmarkStart w:id="16" w:name="da8eb9d92086185_ftnref16"/>
            <w:r w:rsidRPr="0057545A">
              <w:fldChar w:fldCharType="begin"/>
            </w:r>
            <w:r w:rsidRPr="0057545A">
              <w:instrText xml:space="preserve"> HYPERLINK "https://e.mail.ru/" \l "aafebef2212b3aea_ftn16" \t "_blank" </w:instrText>
            </w:r>
            <w:r w:rsidRPr="0057545A">
              <w:fldChar w:fldCharType="separate"/>
            </w:r>
            <w:r w:rsidRPr="0057545A">
              <w:rPr>
                <w:rStyle w:val="a3"/>
              </w:rPr>
              <w:t>[16]</w:t>
            </w:r>
            <w:r w:rsidRPr="0057545A">
              <w:fldChar w:fldCharType="end"/>
            </w:r>
            <w:bookmarkEnd w:id="16"/>
          </w:p>
        </w:tc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50%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273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325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-16,0%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1 371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2 815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45A" w:rsidRPr="0057545A" w:rsidRDefault="0057545A" w:rsidP="0057545A">
            <w:pPr>
              <w:jc w:val="both"/>
            </w:pPr>
            <w:r w:rsidRPr="0057545A">
              <w:t>-51,3%</w:t>
            </w:r>
          </w:p>
        </w:tc>
      </w:tr>
    </w:tbl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Прогнозные заявления</w:t>
      </w:r>
    </w:p>
    <w:p w:rsidR="0057545A" w:rsidRPr="0057545A" w:rsidRDefault="0057545A" w:rsidP="0057545A">
      <w:pPr>
        <w:jc w:val="both"/>
      </w:pPr>
      <w:r w:rsidRPr="0057545A">
        <w:t>Данный пресс-релиз содержит заявления касательно будущих событий, предполагаемых показателей, прогнозов и ожиданий, которые представляют собой прогнозные заявления. Любое содержащееся в настоящем пресс-релизе заявление, не являющееся констатацией исторического факта, представляет собой прогнозное заявление, сопряженное с известными и неизвестными рисками, неопределенностями и прочими факторами, в силу которых наши фактические результаты, показатели хозяйственной деятельности или достижения могут существенным образом отличаться от каких-либо результатов, показателей хозяйственной деятельности или достижений, выраженных в данных прогнозных заявлениях или подразумеваемых ими. В число таких рисков и неопределенностей входят риски и неопределенности, описанные или указанные в Проспекте эмиссии. Кроме того, деятельность компании в прошлом не может быть основанием для прогнозирования ее деятельности в будущем. РУСАЛ не предоставляет никаких заверений относительно достоверности и полноты любого из прогнозных заявлений и не принимает на себя никаких обязательств по дополнению, изменению, обновлению или пересмотру любых таких заявлений или любых выраженных мнений с учетом фактических результатов, изменений в предположениях или ожиданиях РУСАЛа или изменений в факторах, влияющих на данные заявления. Таким образом, полагаясь на данные прогнозные заявления, Вы делаете это исключительно на свой риск.</w:t>
      </w:r>
    </w:p>
    <w:p w:rsidR="0057545A" w:rsidRPr="0057545A" w:rsidRDefault="0057545A" w:rsidP="0057545A">
      <w:pPr>
        <w:jc w:val="both"/>
      </w:pPr>
      <w:r w:rsidRPr="0057545A">
        <w:t> </w:t>
      </w:r>
    </w:p>
    <w:p w:rsidR="0057545A" w:rsidRPr="0057545A" w:rsidRDefault="0057545A" w:rsidP="0057545A">
      <w:pPr>
        <w:jc w:val="both"/>
      </w:pPr>
      <w:r w:rsidRPr="0057545A">
        <w:t>Информация о компании</w:t>
      </w:r>
    </w:p>
    <w:p w:rsidR="0057545A" w:rsidRPr="0057545A" w:rsidRDefault="0057545A" w:rsidP="0057545A">
      <w:pPr>
        <w:jc w:val="both"/>
      </w:pPr>
      <w:r w:rsidRPr="0057545A">
        <w:lastRenderedPageBreak/>
        <w:t>РУСАЛ (</w:t>
      </w:r>
      <w:hyperlink r:id="rId4" w:anchor="_blank" w:tgtFrame="_blank" w:history="1">
        <w:r w:rsidRPr="0057545A">
          <w:rPr>
            <w:rStyle w:val="a3"/>
          </w:rPr>
          <w:t>www.rusal.ru</w:t>
        </w:r>
      </w:hyperlink>
      <w:r w:rsidRPr="0057545A">
        <w:t>) – лидер мировой алюминиевой отрасли. Компания была создана в 2000 году Олегом Дерипаска. В 2021 году на долю компании приходилось около 5,6% мирового производства алюминия и 6,3% глинозема. РУСАЛ присутствует в 20 странах мира на 5 континентах. Обыкновенные акции РУСАЛа торгуются на Гонконгской фондовой бирже (торговый код 486). Обыкновенные акции РУСАЛа торгуются на Московской бирже (торговый код RUAL).</w:t>
      </w:r>
    </w:p>
    <w:p w:rsidR="00B30251" w:rsidRPr="0057545A" w:rsidRDefault="00B30251" w:rsidP="0057545A">
      <w:pPr>
        <w:jc w:val="both"/>
      </w:pPr>
    </w:p>
    <w:sectPr w:rsidR="00B30251" w:rsidRPr="0057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5A"/>
    <w:rsid w:val="0057545A"/>
    <w:rsid w:val="00B3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B979-2AB6-41A1-90A3-C0CFB375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fc5f3b9dd242f5msonormalmrcssattr">
    <w:name w:val="a8fc5f3b9dd242f5msonormal_mr_css_attr"/>
    <w:basedOn w:val="a"/>
    <w:rsid w:val="005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5970b73270ec63msoplaintextmrcssattr">
    <w:name w:val="915970b73270ec63msoplaintext_mr_css_attr"/>
    <w:basedOn w:val="a"/>
    <w:rsid w:val="005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77e2546aae6c3emsolistparagraphcxspfirstmrcssattr">
    <w:name w:val="1377e2546aae6c3emsolistparagraphcxspfirst_mr_css_attr"/>
    <w:basedOn w:val="a"/>
    <w:rsid w:val="005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dc92d0ea22ab7fmsolistparagraphcxspmiddlemrcssattr">
    <w:name w:val="8dc92d0ea22ab7fmsolistparagraphcxspmiddle_mr_css_attr"/>
    <w:basedOn w:val="a"/>
    <w:rsid w:val="005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54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545A"/>
    <w:rPr>
      <w:color w:val="800080"/>
      <w:u w:val="single"/>
    </w:rPr>
  </w:style>
  <w:style w:type="paragraph" w:customStyle="1" w:styleId="8cf15554831a3322msolistparagraphcxsplastmrcssattr">
    <w:name w:val="8cf15554831a3322msolistparagraphcxsplast_mr_css_attr"/>
    <w:basedOn w:val="a"/>
    <w:rsid w:val="005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8352b3881fcdf9msofootnotereferencemrcssattr">
    <w:name w:val="cc8352b3881fcdf9msofootnotereference_mr_css_attr"/>
    <w:basedOn w:val="a0"/>
    <w:rsid w:val="0057545A"/>
  </w:style>
  <w:style w:type="character" w:styleId="a5">
    <w:name w:val="Strong"/>
    <w:basedOn w:val="a0"/>
    <w:uiPriority w:val="22"/>
    <w:qFormat/>
    <w:rsid w:val="0057545A"/>
    <w:rPr>
      <w:b/>
      <w:bCs/>
    </w:rPr>
  </w:style>
  <w:style w:type="paragraph" w:customStyle="1" w:styleId="ca5908bda721594anullmrcssattr">
    <w:name w:val="ca5908bda721594anull_mr_css_attr"/>
    <w:basedOn w:val="a"/>
    <w:rsid w:val="005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ab129e5875acbfnull1mrcssattr">
    <w:name w:val="46ab129e5875acbfnull1_mr_css_attr"/>
    <w:basedOn w:val="a0"/>
    <w:rsid w:val="0057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usal.ru/owa/redir.aspx?C=oSGaW4s6GWswyh8Ko7ZCzojoWl-nj9m9kOQmpW2GTUe57Pa2AsHWCA..&amp;URL=http%3a%2f%2fwww.rus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2022-02-10T06:45:00Z</dcterms:created>
  <dcterms:modified xsi:type="dcterms:W3CDTF">2022-02-10T06:46:00Z</dcterms:modified>
</cp:coreProperties>
</file>