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BA" w:rsidRPr="00574ABA" w:rsidRDefault="00574ABA" w:rsidP="00574ABA">
      <w:pPr>
        <w:shd w:val="clear" w:color="auto" w:fill="FFFFFF"/>
        <w:spacing w:after="0" w:line="276" w:lineRule="atLeast"/>
        <w:jc w:val="center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br/>
        <w:t>РУСАЛ объявляет финансовые результаты 2021 года</w:t>
      </w:r>
    </w:p>
    <w:p w:rsidR="00574ABA" w:rsidRPr="00574ABA" w:rsidRDefault="00574ABA" w:rsidP="00574ABA">
      <w:pPr>
        <w:shd w:val="clear" w:color="auto" w:fill="FFFFFF"/>
        <w:spacing w:after="0" w:line="276" w:lineRule="atLeast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color w:val="000000"/>
          <w:sz w:val="20"/>
          <w:szCs w:val="2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76" w:lineRule="atLeast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РУСАЛ (торговый код на Гонконгской фондовой бирже 486, на Московской бирже RUAL), один из крупнейших в мире производителей алюминия, объявляет результаты деятельности компании по итогам 2021 года.</w:t>
      </w:r>
    </w:p>
    <w:p w:rsidR="00574ABA" w:rsidRPr="00574ABA" w:rsidRDefault="00574ABA" w:rsidP="00574ABA">
      <w:pPr>
        <w:shd w:val="clear" w:color="auto" w:fill="FFFFFF"/>
        <w:spacing w:after="0" w:line="276" w:lineRule="atLeast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76" w:lineRule="atLeast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bookmarkStart w:id="0" w:name="_GoBack"/>
      <w:r w:rsidRPr="00574ABA">
        <w:rPr>
          <w:rFonts w:ascii="Times New Roman" w:eastAsia="MingLiU" w:hAnsi="Times New Roman" w:cs="Times New Roman"/>
          <w:b/>
          <w:bCs/>
          <w:color w:val="000000"/>
          <w:u w:val="single"/>
          <w:lang w:eastAsia="ru-RU"/>
        </w:rPr>
        <w:t>Основные результаты</w:t>
      </w:r>
      <w:bookmarkEnd w:id="0"/>
      <w:r w:rsidRPr="00574ABA">
        <w:rPr>
          <w:rFonts w:ascii="Times New Roman" w:eastAsia="MingLiU" w:hAnsi="Times New Roman" w:cs="Times New Roman"/>
          <w:b/>
          <w:bCs/>
          <w:color w:val="000000"/>
          <w:u w:val="single"/>
          <w:lang w:eastAsia="ru-RU"/>
        </w:rPr>
        <w:t>:</w:t>
      </w:r>
    </w:p>
    <w:p w:rsidR="00574ABA" w:rsidRPr="00574ABA" w:rsidRDefault="00574ABA" w:rsidP="00574ABA">
      <w:pPr>
        <w:shd w:val="clear" w:color="auto" w:fill="FFFFFF"/>
        <w:spacing w:after="0" w:line="276" w:lineRule="atLeast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Symbol" w:eastAsia="Times New Roman" w:hAnsi="Symbol" w:cs="Times New Roman"/>
          <w:color w:val="000000"/>
          <w:lang w:eastAsia="ru-RU"/>
        </w:rPr>
        <w:t></w:t>
      </w:r>
      <w:r w:rsidRPr="00574A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 конце февраля и марте 2022 года некоторые страны и организации объявили о новых пакетах санкций в отношении государственного долга Российской Федерации, Центрального Банка России, ряда российских банков и некоторых связанных с правительством России организаций и учреждений, персональные санкции в отношении ряда физических лиц, а также о других ограничениях, получивших широкое освещение в средствах массовой информации. В связи с растущей геополитической напряженностью с февраля 2022 года наблюдается значительный рост волатильности на рынках ценных бумаг и валютных рынках, а также резкое снижение курса рубля по отношению к доллару США и евро. Ожидается, что эти события повлияют на деятельность российских предприятий в различных отраслях экономики. Количественный эффект этих событий на данный момент не может быть точно оценен.</w:t>
      </w:r>
    </w:p>
    <w:p w:rsidR="00574ABA" w:rsidRPr="00574ABA" w:rsidRDefault="00574ABA" w:rsidP="00574ABA">
      <w:pPr>
        <w:shd w:val="clear" w:color="auto" w:fill="FFFFFF"/>
        <w:spacing w:after="0" w:line="276" w:lineRule="atLeast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proofErr w:type="gramStart"/>
      <w:r w:rsidRPr="00574ABA">
        <w:rPr>
          <w:rFonts w:ascii="Symbol" w:eastAsia="Times New Roman" w:hAnsi="Symbol" w:cs="Times New Roman"/>
          <w:color w:val="000000"/>
          <w:lang w:eastAsia="ru-RU"/>
        </w:rPr>
        <w:t></w:t>
      </w:r>
      <w:r w:rsidRPr="00574A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связи со всеми этими обстоятельствами Компания потенциально может столкнуться с трудностями при поставке оборудования, что может привести к отсрочке реализации некоторых инвестиционных проектов. Вероятная необходимость замены кредитных линий в иностранной валюте долговыми обязательствами, номинированными в рублях, может негативно сказаться на финансовых результатах Компании из-за высоких процентных ставок на местном рублевом рынке, вызванных общей нестабильностью и ключевой ставкой, установленной Банком России на уровне 20%. Недавно объявленное российским правительством намерение изменить регулирование внутренних отпускных цен на металлы также может оказать негативное влияние на прибыльность Компании.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Symbol" w:eastAsia="Times New Roman" w:hAnsi="Symbol" w:cs="Times New Roman"/>
          <w:color w:val="000000"/>
          <w:lang w:eastAsia="ru-RU"/>
        </w:rPr>
        <w:t></w:t>
      </w:r>
      <w:r w:rsidRPr="00574A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1 марта 2022 года Компания объявила, что в связи с неизбежными логистическими и транспортными проблемами на Черном море и прилегающей территории она была вынуждена временно приостановить производство на Николаевском глиноземном заводе, расположенном в Николаевской области, Украина. Объем производства этого завода в 2021 году составил 1,8 млн тонн глинозема. Кроме того, 20 марта правительство Австралии ввело немедленный запрет на экспорт глинозема и алюминиевых руд, включая бокситы, в Россию. Это действие затронет, среди прочего, экспорт глинозема из Австралии, который составляет почти 20% спроса РУСАЛа.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Symbol" w:eastAsia="Times New Roman" w:hAnsi="Symbol" w:cs="Times New Roman"/>
          <w:color w:val="000000"/>
          <w:lang w:eastAsia="ru-RU"/>
        </w:rPr>
        <w:t></w:t>
      </w:r>
      <w:r w:rsidRPr="00574A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руководство Компании оценивает влияние вышеперечисленных мер и анализирует возможные последствия изменяющихся и неопределенных микро- и макроэкономических условий на будущее финансовое положение и результаты деятельности Компании в 2022 году и далее, и сделает дальнейшие объявления, если и когда это потребуется.</w:t>
      </w:r>
    </w:p>
    <w:p w:rsidR="00574ABA" w:rsidRPr="00574ABA" w:rsidRDefault="00574ABA" w:rsidP="0057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Symbol" w:eastAsia="Times New Roman" w:hAnsi="Symbol" w:cs="Times New Roman"/>
          <w:color w:val="000000"/>
          <w:lang w:eastAsia="ru-RU"/>
        </w:rPr>
        <w:t></w:t>
      </w:r>
      <w:r w:rsidRPr="00574A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Выручка Компании в 2021 году увеличилась на 40% и составила 11 994 млн долл. США по сравнению с 8 566 млн долл. США в 2020 году. Увеличение произошло за счёт роста средней цены продажи алюминия до 2 553 долл. США/т (+41,4% г/г), чему способствовал как рост средней цены на Лондонской бирже металлов с учетом котировального периода (LME QP)</w:t>
      </w:r>
      <w:bookmarkStart w:id="1" w:name="49ddc102e1fa1b79_ftnref1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"https://mail.yandex.ru/?uid=37372006" \l "6de2ea969c6ba35c_ftn1" \t "_blank" </w:instrTex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574ABA">
        <w:rPr>
          <w:rFonts w:ascii="Times New Roman" w:eastAsia="Times New Roman" w:hAnsi="Times New Roman" w:cs="Times New Roman"/>
          <w:color w:val="0000FF"/>
          <w:u w:val="single"/>
          <w:vertAlign w:val="superscript"/>
          <w:lang w:eastAsia="ru-RU"/>
        </w:rPr>
        <w:t>[1]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bookmarkEnd w:id="1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(+38,9% г/г., до 2 303 долл. США/т), так и рост средней реализованной премии</w:t>
      </w:r>
      <w:bookmarkStart w:id="2" w:name="f5fe0d05350b3e68_ftnref2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"https://mail.yandex.ru/?uid=37372006" \l "f7119f1787096a6d_ftn2" \t "_blank" </w:instrTex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574ABA">
        <w:rPr>
          <w:rFonts w:ascii="Times New Roman" w:eastAsia="Times New Roman" w:hAnsi="Times New Roman" w:cs="Times New Roman"/>
          <w:color w:val="0000FF"/>
          <w:u w:val="single"/>
          <w:vertAlign w:val="superscript"/>
          <w:lang w:eastAsia="ru-RU"/>
        </w:rPr>
        <w:t>[2]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bookmarkEnd w:id="2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(+70,4% г/г., до 250 долл. США/т). Продажи продукции с добавленной стоимостью увеличились на 18,1% и составили 2 034 тыс. тонн. Доля продаж продукции с добавленной стоимостью в общем объёме продаж восстановилась до 52% (по сравнению с 44% в 2020 году).</w:t>
      </w:r>
    </w:p>
    <w:p w:rsidR="00574ABA" w:rsidRPr="00574ABA" w:rsidRDefault="00574ABA" w:rsidP="0057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4ABA">
        <w:rPr>
          <w:rFonts w:ascii="Symbol" w:eastAsia="Times New Roman" w:hAnsi="Symbol" w:cs="Times New Roman"/>
          <w:color w:val="000000"/>
          <w:lang w:eastAsia="ru-RU"/>
        </w:rPr>
        <w:lastRenderedPageBreak/>
        <w:t></w:t>
      </w:r>
      <w:r w:rsidRPr="00574A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 xml:space="preserve"> то же время турбулентность на мировом рынке привела к росту себестоимости продукции. Себестоимость производства тонны в алюминиевом сегменте в 2021 году увеличилась на 9,9%, составив 1 661 долл. США за тонну (по сравнению с 1 512 долл. США за тонну в 2020 году), под воздействием роста затрат на энергию и другие материалы.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Symbol" w:eastAsia="Times New Roman" w:hAnsi="Symbol" w:cs="Times New Roman"/>
          <w:color w:val="000000"/>
          <w:lang w:eastAsia="ru-RU"/>
        </w:rPr>
        <w:t></w:t>
      </w:r>
      <w:r w:rsidRPr="00574A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 результате этих факторов в 2021 году РУСАЛ получил прибыль до уплаты налогов, процентов, износа и амортизации (EBITDA) в размере 2 893 млн долл. США.</w:t>
      </w:r>
    </w:p>
    <w:p w:rsidR="00574ABA" w:rsidRPr="00574ABA" w:rsidRDefault="00574ABA" w:rsidP="0057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показатели финансовой и операционной деятельности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900"/>
        <w:gridCol w:w="715"/>
        <w:gridCol w:w="844"/>
        <w:gridCol w:w="2106"/>
        <w:gridCol w:w="900"/>
        <w:gridCol w:w="566"/>
        <w:gridCol w:w="645"/>
        <w:gridCol w:w="1121"/>
      </w:tblGrid>
      <w:tr w:rsidR="00574ABA" w:rsidRPr="00574ABA" w:rsidTr="00574ABA">
        <w:trPr>
          <w:trHeight w:val="875"/>
        </w:trPr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Шесть месяцев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закончивши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ся</w:t>
            </w:r>
            <w:proofErr w:type="spellEnd"/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40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(2П/2П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),%</w:t>
            </w:r>
            <w:proofErr w:type="gramEnd"/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Шесть 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месяцев,   </w:t>
            </w:r>
            <w:proofErr w:type="gramEnd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 закончившихся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июня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(2П/1П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),%</w:t>
            </w:r>
            <w:proofErr w:type="gramEnd"/>
          </w:p>
        </w:tc>
        <w:tc>
          <w:tcPr>
            <w:tcW w:w="7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Год, закончившийся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Изменение, год к году, %</w:t>
            </w:r>
          </w:p>
        </w:tc>
      </w:tr>
      <w:tr w:rsidR="00574ABA" w:rsidRPr="00574ABA" w:rsidTr="00574ABA">
        <w:trPr>
          <w:trHeight w:val="144"/>
        </w:trPr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</w:t>
            </w: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5000" w:type="pct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Основные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показатели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операционной деятельности</w:t>
            </w:r>
          </w:p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тыс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тонн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Алюминий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1 896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1 888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0,4%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1 868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3 764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3 755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Глинозём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4 202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4 160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4 102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2,4%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8 304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8 182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1,5%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Бокситы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7 394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7 369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7 637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(3,2%)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15 031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14 838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5000" w:type="pct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ценовые показатели и показатели эффективности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тыс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тонн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реализации первичного алюминия и сплавов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1 904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2 036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(6,5%)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(4,8%)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3 904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3 926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(0,6%)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574ABA" w:rsidRPr="00574ABA" w:rsidTr="00574ABA">
        <w:trPr>
          <w:trHeight w:val="89"/>
        </w:trPr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долл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. США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за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тонну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74ABA" w:rsidRPr="00574ABA" w:rsidRDefault="00574ABA" w:rsidP="0057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574ABA" w:rsidRPr="00574ABA" w:rsidRDefault="00574ABA" w:rsidP="0057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66"/>
        <w:gridCol w:w="557"/>
        <w:gridCol w:w="128"/>
        <w:gridCol w:w="503"/>
        <w:gridCol w:w="192"/>
        <w:gridCol w:w="844"/>
        <w:gridCol w:w="2106"/>
        <w:gridCol w:w="902"/>
        <w:gridCol w:w="547"/>
        <w:gridCol w:w="732"/>
        <w:gridCol w:w="1103"/>
      </w:tblGrid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Себестоимость тонны в алюминиевом сегменте</w:t>
            </w:r>
            <w:bookmarkStart w:id="3" w:name="e1d8dc83fb9d5073_ftnref3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HYPERLINK "https://mail.yandex.ru/?uid=37372006" \l "4ae3bf1533ecc1aa_ftn3" \t "_blank" 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574AB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vertAlign w:val="superscript"/>
                <w:lang w:eastAsia="ru-RU"/>
              </w:rPr>
              <w:t>[3]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1 808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1 464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23,5%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1 523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18,7%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1 661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1 512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9,9%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ind w:left="227" w:hanging="227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алюминия за</w:t>
            </w:r>
          </w:p>
          <w:p w:rsidR="00574ABA" w:rsidRPr="00574ABA" w:rsidRDefault="00574ABA" w:rsidP="00574ABA">
            <w:pPr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тонну на 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LME</w:t>
            </w:r>
            <w:bookmarkStart w:id="4" w:name="8df8b8864eadb512_ftnref4"/>
            <w:r w:rsidRPr="0057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"https://mail.yandex.ru/?uid=37372006" \l "4a0603106cdc646b_ftn4" \t "_blank" 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74AB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vertAlign w:val="superscript"/>
                <w:lang w:eastAsia="ru-RU"/>
              </w:rPr>
              <w:t>[4]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2 706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1 812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2 245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20,5%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2 475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1 702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45,4%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премия к цене на 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LME</w:t>
            </w:r>
            <w:bookmarkStart w:id="5" w:name="8ee3f88b15c97cf5_ftnref5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begin"/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HYPERLINK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"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https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://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mail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.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yandex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.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ru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/?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uid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=37372006" \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l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"885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b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328818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da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0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d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60_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ftn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>5" \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t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"_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>blank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" 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separate"/>
            </w:r>
            <w:r w:rsidRPr="00574AB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vertAlign w:val="superscript"/>
                <w:lang w:eastAsia="ru-RU"/>
              </w:rPr>
              <w:t>[5]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end"/>
            </w:r>
            <w:bookmarkEnd w:id="5"/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48,3%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70,1%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цена реализации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2 832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2 287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23,8%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2 553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1 805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41,4%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глинозема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за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тонну</w:t>
            </w:r>
            <w:bookmarkStart w:id="6" w:name="de2fe0e89dbec224_ftnref6"/>
            <w:proofErr w:type="spellEnd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begin"/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instrText xml:space="preserve"> HYPERLINK "https://mail.yandex.ru/?uid=37372006" \l "d990eab0e0a732f1_ftn6" \t "_blank" 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separate"/>
            </w:r>
            <w:r w:rsidRPr="00574ABA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vertAlign w:val="superscript"/>
                <w:lang w:val="en-US" w:eastAsia="ru-RU"/>
              </w:rPr>
              <w:t>[6]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fldChar w:fldCharType="end"/>
            </w:r>
            <w:bookmarkEnd w:id="6"/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35,3%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30,6%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</w:tr>
      <w:tr w:rsidR="00574ABA" w:rsidRPr="00574ABA" w:rsidTr="00574ABA"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574ABA" w:rsidRPr="00574ABA" w:rsidTr="00574ABA">
        <w:trPr>
          <w:trHeight w:val="599"/>
        </w:trPr>
        <w:tc>
          <w:tcPr>
            <w:tcW w:w="5000" w:type="pct"/>
            <w:gridSpan w:val="1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данные из консолидированного отчета о прибылях и убытках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Шесть месяцев, закончившихся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(2П/2П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),%</w:t>
            </w:r>
            <w:proofErr w:type="gramEnd"/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Шесть 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месяцев,   </w:t>
            </w:r>
            <w:proofErr w:type="gramEnd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 закончившихся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июня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(2П/1П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),%</w:t>
            </w:r>
            <w:proofErr w:type="gramEnd"/>
          </w:p>
        </w:tc>
        <w:tc>
          <w:tcPr>
            <w:tcW w:w="8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Год, закончившийся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год к году, %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202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млн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долл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. США)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Выручка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6 545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4 551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5 449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11 994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8 566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40,0%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Скорректированная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EBITDA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1 578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142,0%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1 315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2 893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232,1%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маржа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(%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от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выручки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14,3%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24,1%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10,2%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 за период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1 207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36,7%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2 018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(40,2%)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3 225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324,9%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маржа (% от выручки)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19,4%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37,0%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26,9%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8,9%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Скорректированная чистая прибыль за период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596,7%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26,2%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1 536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2 460,0%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маржа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(%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от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выручки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13,1%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12,5%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12,8%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Нормализованная чистая прибыль за период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1 495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1 066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40,2%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1 803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(17,1%)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3 298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233,1%</w:t>
            </w:r>
          </w:p>
        </w:tc>
      </w:tr>
      <w:tr w:rsidR="00574ABA" w:rsidRPr="00574ABA" w:rsidTr="00574ABA"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маржа (% от выручки)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22,8%</w:t>
            </w:r>
          </w:p>
        </w:tc>
        <w:tc>
          <w:tcPr>
            <w:tcW w:w="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33,1%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27,5%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11,6%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н/д</w:t>
            </w:r>
          </w:p>
        </w:tc>
      </w:tr>
      <w:tr w:rsidR="00574ABA" w:rsidRPr="00574ABA" w:rsidTr="00574ABA">
        <w:tc>
          <w:tcPr>
            <w:tcW w:w="184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</w:p>
    <w:p w:rsidR="00574ABA" w:rsidRPr="00574ABA" w:rsidRDefault="00574ABA" w:rsidP="0057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br w:type="textWrapping" w:clear="all"/>
      </w:r>
    </w:p>
    <w:p w:rsidR="00574ABA" w:rsidRPr="00574ABA" w:rsidRDefault="00574ABA" w:rsidP="0057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данные из консолидированного отчета о финансовом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1605"/>
        <w:gridCol w:w="1417"/>
        <w:gridCol w:w="1605"/>
      </w:tblGrid>
      <w:tr w:rsidR="00574ABA" w:rsidRPr="00574ABA" w:rsidTr="00574ABA">
        <w:tc>
          <w:tcPr>
            <w:tcW w:w="2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85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к 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году,%</w:t>
            </w:r>
            <w:proofErr w:type="gramEnd"/>
          </w:p>
        </w:tc>
      </w:tr>
      <w:tr w:rsidR="00574ABA" w:rsidRPr="00574ABA" w:rsidTr="00574ABA">
        <w:trPr>
          <w:trHeight w:val="490"/>
        </w:trPr>
        <w:tc>
          <w:tcPr>
            <w:tcW w:w="2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декабря</w:t>
            </w:r>
          </w:p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декабря 2020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BA" w:rsidRPr="00574ABA" w:rsidTr="00574ABA">
        <w:tc>
          <w:tcPr>
            <w:tcW w:w="2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2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(млн долл. США)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2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           20 9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17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378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20,3%</w:t>
            </w:r>
          </w:p>
        </w:tc>
      </w:tr>
      <w:tr w:rsidR="00574ABA" w:rsidRPr="00574ABA" w:rsidTr="00574ABA">
        <w:tc>
          <w:tcPr>
            <w:tcW w:w="2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Оборотный капитал</w:t>
            </w:r>
            <w:bookmarkStart w:id="7" w:name="8a5da0eaf0db349f_ftnref7"/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"https://mail.yandex.ru/?uid=37372006" \l "2d631aae8d8aa56e_ftn7" \t "_blank" 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574A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vertAlign w:val="superscript"/>
                <w:lang w:eastAsia="ru-RU"/>
              </w:rPr>
              <w:t>[7]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7"/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            2 930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1 6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81,0%</w:t>
            </w:r>
          </w:p>
        </w:tc>
      </w:tr>
      <w:tr w:rsidR="00574ABA" w:rsidRPr="00574ABA" w:rsidTr="00574ABA">
        <w:tc>
          <w:tcPr>
            <w:tcW w:w="2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Чистый долг</w:t>
            </w:r>
            <w:bookmarkStart w:id="8" w:name="97fe08b67fc8e28e_ftnref8"/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"https://mail.yandex.ru/?uid=37372006" \l "217632e3000f657f_ftn8" \t "_blank" </w:instrTex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574A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vertAlign w:val="superscript"/>
                <w:lang w:eastAsia="ru-RU"/>
              </w:rPr>
              <w:t>[8]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            4 749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5 563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(14,6%)</w:t>
            </w: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данные из консолидированного отчета о движении денежных средств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604"/>
        <w:gridCol w:w="1417"/>
        <w:gridCol w:w="1510"/>
      </w:tblGrid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Год,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закончивши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ся</w:t>
            </w:r>
            <w:proofErr w:type="spellEnd"/>
          </w:p>
        </w:tc>
        <w:tc>
          <w:tcPr>
            <w:tcW w:w="8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</w:t>
            </w:r>
          </w:p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к году</w:t>
            </w: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декабря</w:t>
            </w:r>
          </w:p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декабря 2020 г.</w:t>
            </w:r>
          </w:p>
        </w:tc>
        <w:tc>
          <w:tcPr>
            <w:tcW w:w="0" w:type="auto"/>
            <w:vMerge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(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млн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долл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. США)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Чистый поток денежных средств от операционной деятельности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1 1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1 0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5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0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%</w:t>
            </w:r>
          </w:p>
        </w:tc>
      </w:tr>
      <w:tr w:rsidR="00574ABA" w:rsidRPr="00574ABA" w:rsidTr="00574ABA">
        <w:trPr>
          <w:trHeight w:val="339"/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Чистый поток денежных средств от инвестиционной деятельности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82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2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%</w:t>
            </w: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 в том числе дивиденды, полученные от «Норильского Никеля»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618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1 161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(46,8%)</w:t>
            </w: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 в том числе, капитальные затраты</w:t>
            </w:r>
            <w:bookmarkStart w:id="9" w:name="442bd8b8d2e57011_ftnref9"/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fldChar w:fldCharType="begin"/>
            </w: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instrText xml:space="preserve"> HYPERLINK "https://mail.yandex.ru/?uid=37372006" \l "1ed7f2de37820904_ftn9" \t "_blank" </w:instrText>
            </w: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fldChar w:fldCharType="separate"/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vertAlign w:val="superscript"/>
                <w:lang w:eastAsia="ru-RU"/>
              </w:rPr>
              <w:t>[9]</w:t>
            </w: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fldChar w:fldCharType="end"/>
            </w:r>
            <w:bookmarkEnd w:id="9"/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(1 192)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eastAsia="ru-RU"/>
              </w:rPr>
              <w:t>897</w:t>
            </w: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32,9%</w:t>
            </w:r>
          </w:p>
        </w:tc>
      </w:tr>
      <w:tr w:rsidR="00574ABA" w:rsidRPr="00574ABA" w:rsidTr="00574ABA">
        <w:trPr>
          <w:jc w:val="right"/>
        </w:trPr>
        <w:tc>
          <w:tcPr>
            <w:tcW w:w="255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уплаченные</w:t>
            </w:r>
          </w:p>
        </w:tc>
        <w:tc>
          <w:tcPr>
            <w:tcW w:w="85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(380)</w:t>
            </w:r>
          </w:p>
        </w:tc>
        <w:tc>
          <w:tcPr>
            <w:tcW w:w="7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(465)</w:t>
            </w:r>
          </w:p>
        </w:tc>
        <w:tc>
          <w:tcPr>
            <w:tcW w:w="80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Times New Roman" w:hint="eastAsia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sz w:val="18"/>
                <w:szCs w:val="18"/>
                <w:lang w:val="en-US" w:eastAsia="ru-RU"/>
              </w:rPr>
              <w:t>(18,3%)</w:t>
            </w: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Тенденции развития алюминиевой отрасли и деловой активности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Мировой спрос на алюминий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color w:val="000000"/>
          <w:lang w:eastAsia="ru-RU"/>
        </w:rPr>
        <w:t>На текущую ситуацию на рынке в значительной степени влияют введенные санкции. В нынешних обстоятельствах любой текущий или сделанный ранее прогноз может очень быстро потерять актуальность из-за продолжающихся изменений на рынке, и поэтому заинтересованные стороны должны проявлять должную осторожность при проведении анализа или принятии решения.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 xml:space="preserve">В 2021 году продажи алюминия в России составили 865 тыс. тонн (+18,8% по сравнению с предыдущим годом). Если учитывать алюминий, направленный на предприятия Дивизиона </w:t>
      </w:r>
      <w:proofErr w:type="spellStart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Даунстрим</w:t>
      </w:r>
      <w:proofErr w:type="spellEnd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Компании по производству фольги, автомобильных дисков и прочей продукции, общий объем поставок по России составил 957 тыс. тонн (+18,8% по сравнению с предыдущим годом). В целом поставки на рынок России и СНГ составили рекордные 1,2 млн тонн (+19,6% по сравнению с предыдущим годом).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color w:val="000000"/>
          <w:shd w:val="clear" w:color="auto" w:fill="FFFF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 2021 году средняя цена реализации алюминия</w:t>
      </w:r>
      <w:bookmarkStart w:id="10" w:name="5eea4f967669c703_ftnref10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"https://mail.yandex.ru/?uid=37372006" \l "e8763265061886a0_ftn10" \t "_blank" </w:instrTex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574ABA">
        <w:rPr>
          <w:rFonts w:ascii="Times New Roman" w:eastAsia="Times New Roman" w:hAnsi="Times New Roman" w:cs="Times New Roman"/>
          <w:color w:val="0000FF"/>
          <w:u w:val="single"/>
          <w:vertAlign w:val="superscript"/>
          <w:lang w:eastAsia="ru-RU"/>
        </w:rPr>
        <w:t>[10]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bookmarkEnd w:id="10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увеличилась на 41,4% по сравнению с предыдущим годом и составила 2 553 долл. США за тонну. Увеличение было обусловлено, как ростом средней цены на алюминий на Лондонской бирже металлов (LME) с учетом котировального периода</w:t>
      </w:r>
      <w:bookmarkStart w:id="11" w:name="c7cd001a23d70a78_ftnref11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"https://mail.yandex.ru/?uid=37372006" \l "aa2102ed5a1addab_ftn11" \t "_blank" </w:instrTex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574ABA">
        <w:rPr>
          <w:rFonts w:ascii="Times New Roman" w:eastAsia="Times New Roman" w:hAnsi="Times New Roman" w:cs="Times New Roman"/>
          <w:color w:val="0000FF"/>
          <w:u w:val="single"/>
          <w:vertAlign w:val="superscript"/>
          <w:lang w:eastAsia="ru-RU"/>
        </w:rPr>
        <w:t>[11]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bookmarkEnd w:id="11"/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(+38,9% по сравнению с предыдущим годом – до 2 303 долл. США за тонну), так и ростом средней реализованной премии (+70,4% по сравнению с предыдущим годом – до 250 долл. США за тонну). Увеличение реализованной премии в течение двенадцати месяцев 2021 года связано с ростом товарной премии, а также ростом доли ПДС в структуре продаж и увеличением продуктовой премии.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Производство глинозема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shd w:val="clear" w:color="auto" w:fill="FFFF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 2021 году производство глинозема составило 8 304 тыс. тонн (+1,5% по сравнению с предыдущим годом). Производительность глиноземных предприятий Компании в основном соответствовала плану производства.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Производство бокситов и нефелиновой руды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color w:val="000000"/>
          <w:shd w:val="clear" w:color="auto" w:fill="FFFF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4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Производство бокситов за двенадцать месяцев 2021 года составило 15 031 тыс. тонн (+1,3% по сравнению с предыдущим годом). Объем добычи нефелиновой руды снизился на 4,6% по сравнению с предыдущим годом – до 4 390 тыс. тонн.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br w:type="textWrapping" w:clear="all"/>
      </w:r>
    </w:p>
    <w:p w:rsidR="00574ABA" w:rsidRPr="00574ABA" w:rsidRDefault="00574ABA" w:rsidP="00574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Обзор финансовых результатов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Выручка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457"/>
        <w:gridCol w:w="813"/>
        <w:gridCol w:w="1287"/>
        <w:gridCol w:w="1457"/>
        <w:gridCol w:w="814"/>
        <w:gridCol w:w="1287"/>
      </w:tblGrid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Год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закончившийся</w:t>
            </w:r>
            <w:proofErr w:type="spellEnd"/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г.</w:t>
            </w:r>
          </w:p>
        </w:tc>
        <w:tc>
          <w:tcPr>
            <w:tcW w:w="1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Год, закончившийся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декабря 2020 г.</w:t>
            </w:r>
          </w:p>
        </w:tc>
      </w:tr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млн долл. США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Средняя цена реализации (долл. США/тонн)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млн долл. США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Средняя цена реализации (долл. США/тонн)</w:t>
            </w:r>
          </w:p>
        </w:tc>
      </w:tr>
      <w:tr w:rsidR="00574ABA" w:rsidRPr="00574ABA" w:rsidTr="00574ABA">
        <w:trPr>
          <w:trHeight w:val="228"/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180" w:hanging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первичного алюминия и сплавов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9 966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3 904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2 553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7 088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3 926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1 805</w:t>
            </w:r>
          </w:p>
        </w:tc>
      </w:tr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Реализация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глинозема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1 677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1 729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</w:tr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фольги и прочей продукции из алюминия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</w:tr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Прочая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выручка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</w:t>
            </w:r>
          </w:p>
        </w:tc>
      </w:tr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</w:tr>
      <w:tr w:rsidR="00574ABA" w:rsidRPr="00574ABA" w:rsidTr="00574ABA">
        <w:trPr>
          <w:trHeight w:val="319"/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выручка</w:t>
            </w:r>
            <w:proofErr w:type="spellEnd"/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11 994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8 566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</w:tr>
      <w:tr w:rsidR="00574ABA" w:rsidRPr="00574ABA" w:rsidTr="00574ABA">
        <w:trPr>
          <w:jc w:val="right"/>
        </w:trPr>
        <w:tc>
          <w:tcPr>
            <w:tcW w:w="1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===========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===========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Общая выручка Компании выросла на 3 428 млн долл. США, или на 40,0%, и составила 11 994 млн долл. США в 2021 году, по сравнению с 8 566 млн долл. США в 2020 году.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112"/>
        <w:gridCol w:w="1112"/>
        <w:gridCol w:w="686"/>
        <w:gridCol w:w="1696"/>
        <w:gridCol w:w="686"/>
        <w:gridCol w:w="1112"/>
        <w:gridCol w:w="1031"/>
        <w:gridCol w:w="821"/>
      </w:tblGrid>
      <w:tr w:rsidR="00574ABA" w:rsidRPr="00574ABA" w:rsidTr="00574ABA">
        <w:trPr>
          <w:trHeight w:val="1234"/>
        </w:trPr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Шесть месяцев, закончившихся</w:t>
            </w:r>
          </w:p>
          <w:p w:rsidR="00574ABA" w:rsidRPr="00574ABA" w:rsidRDefault="00574ABA" w:rsidP="00574ABA">
            <w:pPr>
              <w:spacing w:after="0" w:line="260" w:lineRule="atLeast"/>
              <w:ind w:left="5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(2П/2П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),%</w:t>
            </w:r>
            <w:proofErr w:type="gramEnd"/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Шесть 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месяцев,   </w:t>
            </w:r>
            <w:proofErr w:type="gramEnd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 закончившихся</w:t>
            </w:r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июня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(2П/1П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),%</w:t>
            </w:r>
            <w:proofErr w:type="gramEnd"/>
          </w:p>
        </w:tc>
        <w:tc>
          <w:tcPr>
            <w:tcW w:w="9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Год, закончившийся</w:t>
            </w:r>
          </w:p>
          <w:p w:rsidR="00574ABA" w:rsidRPr="00574ABA" w:rsidRDefault="00574ABA" w:rsidP="00574ABA">
            <w:pPr>
              <w:spacing w:after="0" w:line="260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в сравнении с предыдущим годом, 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90" w:hanging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первичного алюминия и сплавов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firstLine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млн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долл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. США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5 392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3 770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43,0%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4 574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17,9%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9 966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7 088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40,6%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firstLine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 тонн</w:t>
            </w:r>
            <w:proofErr w:type="gramEnd"/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3 904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2 036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91,7%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2 000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95,2%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3 904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3 926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(0,6%)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186" w:hanging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Средняя цена реализации (долл. США/т)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2 553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2 287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1 805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Реализация глинозема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firstLine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млн долл. США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,4%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firstLine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тыс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тонн</w:t>
            </w:r>
            <w:proofErr w:type="spellEnd"/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847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953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(11,1%)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830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2,0%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1 677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1 729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(3,0%)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186" w:hanging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Средняя цена реализации (долл. США/т)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96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Реализация фольги и прочей продукции из алюминия (млн долл. США)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515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381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35,2%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90" w:hanging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Прочая выручка (млн долл. США)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536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287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86,8%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367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46,0%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564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60,1%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90" w:hanging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90" w:hanging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  <w:proofErr w:type="gram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выручка  (</w:t>
            </w:r>
            <w:proofErr w:type="gram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млн долл. США)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6 545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4 551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5 449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11 994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8 566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40,0%</w:t>
            </w:r>
          </w:p>
        </w:tc>
      </w:tr>
      <w:tr w:rsidR="00574ABA" w:rsidRPr="00574ABA" w:rsidTr="00574ABA"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90" w:hanging="90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=============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=============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=============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=============</w:t>
            </w:r>
          </w:p>
        </w:tc>
        <w:tc>
          <w:tcPr>
            <w:tcW w:w="4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============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 xml:space="preserve">Выручка от реализации первичного алюминия и сплавов в 2021 году увеличилась на 2 878 млн долларов США, или на 40,6 %, – до 9 966 млн долларов США по сравнению с 7 088 млн долларов 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США в 2020 году. Это связано в первую очередь с увеличением на 41,4 % средневзвешенной цены реализации алюминия за тонну (в среднем до 2 553 долларов США за тонну в 2021 году по сравнению с 1 805 долларами США за тонну в 2020 году), что обусловлено увеличением цены алюминия на LME (в среднем до 2 475 долларов США за тонну в 2021 году по сравнению с 1 702 долларами США за тонну в 2020 году), при этом объемы реализации практически не изменились в сравниваемых периодах.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Выручка от продаж глинозёма в 2021 году выросла на 14,4% – до 610 млн долл. США по сравнению с 533 млн долл. США за 2020 год. Главным образом из-за повышения средней цены реализации на 18,2%, что было частично компенсировано снижением объема продаж глинозема на 3,0%.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Выручка от реализации фольги и прочей алюминиевой продукции увеличилась на 134 млн долл. США, или на 35,2% – до 515 млн долл. США за 2021 год, по сравнению с 381 млн долл. США за 2020 год, что связано главным образом с ростом реализации алюминиевых колесных дисков на 58,6% и ростом реализации фольги на 28,3% между сравниваемыми периодами.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Прочая выручка, включая реализацию прочей продукции, боксита и электроэнергии, выросла на 60,1% – до 903 млн долл. США за 2021 год, по сравнению с 564 млн долл. США за 2020 год, в связи с ростом реализации прочей продукции на 54,3 % (например, кремния - на 100,6%, гидрата - на 103,7%, анодных блоков – на 26,7%,), что явилось результатом как увеличения объемов продаж, так и увеличения средней цены реализации.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Себестоимость реализации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color w:val="000000"/>
          <w:lang w:eastAsia="ru-RU"/>
        </w:rPr>
        <w:t>В таблице ниже представлены данные об основных составляющих себестоимости реализации за 2021 и 2022 годы.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MingLiU" w:eastAsia="MingLiU" w:hAnsi="MingLiU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1526"/>
        <w:gridCol w:w="1049"/>
        <w:gridCol w:w="1334"/>
        <w:gridCol w:w="1334"/>
      </w:tblGrid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закончивши</w:t>
            </w:r>
            <w:proofErr w:type="spell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ся</w:t>
            </w:r>
            <w:proofErr w:type="spell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декабря</w:t>
            </w:r>
          </w:p>
        </w:tc>
        <w:tc>
          <w:tcPr>
            <w:tcW w:w="70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год к </w:t>
            </w:r>
            <w:proofErr w:type="gram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году,%</w:t>
            </w:r>
            <w:proofErr w:type="gramEnd"/>
          </w:p>
        </w:tc>
        <w:tc>
          <w:tcPr>
            <w:tcW w:w="70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в общем объеме затрат, %  </w:t>
            </w:r>
          </w:p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(млн долл. США)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глинозема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Затраты на </w:t>
            </w:r>
            <w:proofErr w:type="gram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приобретение  бокситов</w:t>
            </w:r>
            <w:proofErr w:type="gramEnd"/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447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прочего сырья и прочие затраты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3 387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2 29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270" w:hanging="270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Затраты на приобретение первичного алюминия у совместных предприятий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465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Затраты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электроэнергию</w:t>
            </w:r>
            <w:proofErr w:type="spellEnd"/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2 070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1 868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мортизация</w:t>
            </w:r>
            <w:proofErr w:type="spellEnd"/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542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Расходы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персонал</w:t>
            </w:r>
            <w:proofErr w:type="spellEnd"/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512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Ремонт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техническое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обслуживание</w:t>
            </w:r>
            <w:proofErr w:type="spellEnd"/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381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Изменение резерва по запасам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(2)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н/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готовой продукции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(752)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(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10 642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(9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</w:t>
            </w:r>
            <w:r w:rsidRPr="00574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1%)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Общая</w:t>
            </w:r>
            <w:proofErr w:type="spell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себестоимость</w:t>
            </w:r>
            <w:proofErr w:type="spell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реализации</w:t>
            </w:r>
            <w:proofErr w:type="spellEnd"/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8 273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7 112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574ABA" w:rsidRPr="00574ABA" w:rsidTr="00574ABA">
        <w:tc>
          <w:tcPr>
            <w:tcW w:w="21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==========</w:t>
            </w: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Общая себестоимость реализации выросла на 1 161 млн долл. США, или на 16,3% - до 8 273 млн долл. США за 2021 год по сравнению с 7 112 млн долл. США за 2020 год. Динамика была в основном обусловлена ростом цен на глинозем и другое сырье, средних тарифов на электроэнергию и транспортных тарифов.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Первичный алюминий и сплавы составляют основную часть остатков готовой продукции (порядка 95%). Динамика изменений в сравниваемых периодах обусловлена главным образом колебаниями физического объема остатков первичного алюминия и сплавов:</w:t>
      </w: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ростом на 96,9% в 2021 году и на 2,6% в 2020 году.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574ABA" w:rsidRPr="00574ABA" w:rsidRDefault="00574ABA" w:rsidP="00574ABA">
      <w:pPr>
        <w:shd w:val="clear" w:color="auto" w:fill="FFFFFF"/>
        <w:spacing w:after="120" w:line="360" w:lineRule="atLeast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lang w:eastAsia="ru-RU"/>
        </w:rPr>
        <w:t>Скорректированная EBITDA и результаты операционной деятельности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1776"/>
        <w:gridCol w:w="1589"/>
        <w:gridCol w:w="94"/>
        <w:gridCol w:w="1869"/>
      </w:tblGrid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0" w:type="pct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Год, закончившийся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декабря</w:t>
            </w:r>
          </w:p>
        </w:tc>
        <w:tc>
          <w:tcPr>
            <w:tcW w:w="1000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в сравнении с предыдущим </w:t>
            </w:r>
            <w:proofErr w:type="gram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периодом,%</w:t>
            </w:r>
            <w:proofErr w:type="gramEnd"/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(млн долл. США)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227" w:hanging="227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скорректированной EBITDA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227" w:hanging="227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Результат от операционной деятельности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2 079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645,2%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227" w:hanging="227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Скорректированный на: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227" w:hanging="227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227" w:hanging="227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Амортизацию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4,6%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227" w:hanging="227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Обесценение внеоборотных активов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2 222,0%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ind w:left="227" w:hanging="227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Убыток от выбытия основных средств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(30,8%)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Скорректированная EBITDA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2 893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232,1%</w:t>
            </w:r>
          </w:p>
        </w:tc>
      </w:tr>
      <w:tr w:rsidR="00574ABA" w:rsidRPr="00574ABA" w:rsidTr="00574ABA">
        <w:tc>
          <w:tcPr>
            <w:tcW w:w="21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=========</w:t>
            </w:r>
          </w:p>
        </w:tc>
        <w:tc>
          <w:tcPr>
            <w:tcW w:w="8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=========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4500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Скорректированная EBITDA, определяемая как результат операционной деятельности, скорректированный на амортизацию, обесценение внеоборотных активов и убыток от выбытия основных средств, увеличилась до 2 893 млн долл. США в 2021 году по сравнению с 871 млн долл. США годом ранее. Факторами, повлиявшими на рост маржи по скорректированной EBITDA, являются те же факторы, которые повлияли на результат операционной деятельности Компании.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Прибыль за период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Исходя из приведенных выше факторов Компания отразила чистую прибыль в размере 3 225 млн долл. США за 2021 год, по сравнению с 759 млн долл. США за 2020 год.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Скорректированная и нормализованная чистая прибыль/(убыток)</w:t>
      </w:r>
    </w:p>
    <w:tbl>
      <w:tblPr>
        <w:tblW w:w="52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993"/>
        <w:gridCol w:w="993"/>
        <w:gridCol w:w="993"/>
        <w:gridCol w:w="993"/>
        <w:gridCol w:w="1135"/>
        <w:gridCol w:w="707"/>
        <w:gridCol w:w="709"/>
        <w:gridCol w:w="1233"/>
      </w:tblGrid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Шесть месяцев, закончившихся</w:t>
            </w:r>
          </w:p>
          <w:p w:rsidR="00574ABA" w:rsidRPr="00574ABA" w:rsidRDefault="00574ABA" w:rsidP="00574ABA">
            <w:pPr>
              <w:spacing w:after="0" w:line="276" w:lineRule="atLeast"/>
              <w:jc w:val="center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 (2П /2П</w:t>
            </w:r>
            <w:proofErr w:type="gram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),%</w:t>
            </w:r>
            <w:proofErr w:type="gramEnd"/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Шесть </w:t>
            </w:r>
            <w:proofErr w:type="gram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месяцев,   </w:t>
            </w:r>
            <w:proofErr w:type="gramEnd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   закончив-</w:t>
            </w:r>
            <w:proofErr w:type="spellStart"/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шихся</w:t>
            </w:r>
            <w:proofErr w:type="spellEnd"/>
          </w:p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 июня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  (</w:t>
            </w:r>
            <w:proofErr w:type="gram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2П/1П),%</w:t>
            </w:r>
          </w:p>
        </w:tc>
        <w:tc>
          <w:tcPr>
            <w:tcW w:w="72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Год, закончившийся</w:t>
            </w:r>
          </w:p>
          <w:p w:rsidR="00574ABA" w:rsidRPr="00574ABA" w:rsidRDefault="00574ABA" w:rsidP="00574ABA">
            <w:pPr>
              <w:spacing w:after="0" w:line="276" w:lineRule="atLeast"/>
              <w:jc w:val="center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Изменениегод</w:t>
            </w:r>
            <w:proofErr w:type="spell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 году, %</w:t>
            </w:r>
          </w:p>
        </w:tc>
      </w:tr>
      <w:tr w:rsidR="00574ABA" w:rsidRPr="00574ABA" w:rsidTr="00574ABA">
        <w:trPr>
          <w:trHeight w:val="391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 2021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rPr>
          <w:trHeight w:val="497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(млн долл. США)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неаудир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252" w:hanging="252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Сверка скорректированной чистой прибыли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Чистая прибыль за период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1 207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36,7%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2 018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(40,2%)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3 225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324,9%</w:t>
            </w:r>
          </w:p>
        </w:tc>
      </w:tr>
      <w:tr w:rsidR="00574ABA" w:rsidRPr="00574ABA" w:rsidTr="00574ABA">
        <w:trPr>
          <w:trHeight w:val="283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Скорректированная на: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ind w:left="252" w:hanging="342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Долю в прибыли и прочих доходах и убытках, относящихся к «Норильскому Никелю», за вычетом налогового эффекта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(638)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          (943)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(32,3%)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(1 124)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(43,2%)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(1 762)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(930)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89,5%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ind w:left="252" w:hanging="270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Изменение справедливой 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стоимости производных финансовых обязательств, за вычетом налогов (20 %)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134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           225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(40,4%)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(39,6%)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60,4%</w:t>
            </w:r>
          </w:p>
        </w:tc>
      </w:tr>
      <w:tr w:rsidR="00574ABA" w:rsidRPr="00574ABA" w:rsidTr="00574ABA">
        <w:trPr>
          <w:trHeight w:val="195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after="0" w:line="276" w:lineRule="atLeast"/>
              <w:ind w:left="252" w:hanging="252"/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74ABA" w:rsidRPr="00574ABA" w:rsidTr="00574ABA">
        <w:trPr>
          <w:trHeight w:val="195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ind w:left="252" w:hanging="252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Обесценение</w:t>
            </w:r>
            <w:proofErr w:type="gramStart"/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/(</w:t>
            </w:r>
            <w:proofErr w:type="gramEnd"/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обесценения) внеоборотных активов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           (42)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61,8%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1 500,0%</w:t>
            </w:r>
          </w:p>
        </w:tc>
      </w:tr>
      <w:tr w:rsidR="00574ABA" w:rsidRPr="00574ABA" w:rsidTr="00574ABA">
        <w:trPr>
          <w:trHeight w:val="195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Прибыль от частичного выбытия инвестиции в ассоциированную компанию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0,0%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(492)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(100,0%)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(492)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Скорректированная чистая прибыль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596,7%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26,2%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1 536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2 460,0%</w:t>
            </w:r>
          </w:p>
        </w:tc>
      </w:tr>
      <w:tr w:rsidR="00574ABA" w:rsidRPr="00574ABA" w:rsidTr="00574ABA">
        <w:trPr>
          <w:trHeight w:val="221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=======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========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Восстановленная на: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ind w:left="252" w:hanging="252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eastAsia="ru-RU"/>
              </w:rPr>
              <w:t>Долю в прибыли «Норильского Никеля», за вычетом налогов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943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(32,3%)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1 124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(43,2%)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1 762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89,5%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=======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val="en-US" w:eastAsia="ru-RU"/>
              </w:rPr>
              <w:t>========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Нормализованная чистая прибыль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1 495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1 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40,2%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6"/>
                <w:szCs w:val="16"/>
                <w:lang w:eastAsia="ru-RU"/>
              </w:rPr>
              <w:t>1 803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(17,1%)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3 298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233,1%</w:t>
            </w:r>
          </w:p>
        </w:tc>
      </w:tr>
      <w:tr w:rsidR="00574ABA" w:rsidRPr="00574ABA" w:rsidTr="00574ABA">
        <w:trPr>
          <w:trHeight w:val="265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========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========</w:t>
            </w:r>
          </w:p>
        </w:tc>
      </w:tr>
      <w:tr w:rsidR="00574ABA" w:rsidRPr="00574ABA" w:rsidTr="00574ABA"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58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3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ABA" w:rsidRPr="00574ABA" w:rsidRDefault="00574ABA" w:rsidP="00574ABA">
            <w:pPr>
              <w:spacing w:before="20" w:after="0" w:line="276" w:lineRule="atLeast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Скорректированная чистая прибыль/(убыток) за любой период определяется как чистая прибыль/(убыток), скорректированная с учетом чистого эффекта инвестиции Компании в ГМК «Норильский никель», чистого эффекта производных финансовых инструментов и чистого эффекта от обесценения внеоборотных активов. Нормализованная чистая прибыль/(убыток) за любой период определяется как скорректированная чистая прибыль/(убыток) плюс эффективная доля Компании в прибыли «Норильского никеля».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Отчетность по сегментам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Годовым отчетом, в Группе выделяют четыре сегмента, которые являются стратегическими бизнес-единицами: алюминиевый, глиноземный, энергетический, добывающий и металлургический. Управление деятельностью указанных бизнес-единиц осуществляется раздельно, а результаты их деятельности на регулярной основе анализируются Генеральным директором Компании.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Алюминиевый и глиноземный сегменты являются ключевыми.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758"/>
        <w:gridCol w:w="1295"/>
        <w:gridCol w:w="1018"/>
        <w:gridCol w:w="1203"/>
        <w:gridCol w:w="1110"/>
      </w:tblGrid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закончивши</w:t>
            </w:r>
            <w:proofErr w:type="spell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proofErr w:type="spellStart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ся</w:t>
            </w:r>
            <w:proofErr w:type="spellEnd"/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3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декабря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2020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Алюминий</w:t>
            </w:r>
            <w:proofErr w:type="spellEnd"/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Глинозем</w:t>
            </w:r>
            <w:proofErr w:type="spellEnd"/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Алюминий</w:t>
            </w:r>
            <w:proofErr w:type="spellEnd"/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center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Глинозем</w:t>
            </w:r>
            <w:proofErr w:type="spellEnd"/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млн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долл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 США)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Выручка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сегмента</w:t>
            </w:r>
            <w:proofErr w:type="spell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574ABA" w:rsidRPr="00574ABA" w:rsidTr="00574ABA">
        <w:tc>
          <w:tcPr>
            <w:tcW w:w="1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3 590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7 554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3 702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7</w:t>
            </w: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844</w:t>
            </w:r>
          </w:p>
        </w:tc>
      </w:tr>
      <w:tr w:rsidR="00574ABA" w:rsidRPr="00574ABA" w:rsidTr="00574ABA">
        <w:tc>
          <w:tcPr>
            <w:tcW w:w="15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млн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долл</w:t>
            </w:r>
            <w:proofErr w:type="spellEnd"/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. США</w:t>
            </w:r>
          </w:p>
        </w:tc>
        <w:tc>
          <w:tcPr>
            <w:tcW w:w="9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9 102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2 649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6 666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2 310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Прибыль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/(убыток)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сегмента</w:t>
            </w:r>
            <w:proofErr w:type="spell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2 817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(72)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(106)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Маржа по прибыли/(убытку) сегмента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(2,7%)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6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(4,6%)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EBITDA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 сегмента</w:t>
            </w:r>
            <w:bookmarkStart w:id="12" w:name="c445b84077a5b409_ftnref12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"https://mail.yandex.ru/?uid=37372006" \l "8d7e1a8b7ac91eae_ftn12" \t "_blank" </w:instrTex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574ABA">
              <w:rPr>
                <w:rFonts w:ascii="Times New Roman" w:eastAsia="MingLiU" w:hAnsi="Times New Roman" w:cs="Times New Roman"/>
                <w:color w:val="0000FF"/>
                <w:sz w:val="20"/>
                <w:szCs w:val="20"/>
                <w:u w:val="single"/>
                <w:vertAlign w:val="superscript"/>
                <w:lang w:eastAsia="ru-RU"/>
              </w:rPr>
              <w:t>[12]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2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3 139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1 068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Маржа по 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EBITDA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 сегмента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34,5%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16,0%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2,1%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Итого кап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итальные</w:t>
            </w:r>
            <w:proofErr w:type="spellEnd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затраты</w:t>
            </w:r>
            <w:proofErr w:type="spellEnd"/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(700)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(234)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(611)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574ABA" w:rsidRPr="00574ABA" w:rsidTr="00574ABA">
        <w:tc>
          <w:tcPr>
            <w:tcW w:w="2450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both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74ABA" w:rsidRPr="00574ABA" w:rsidRDefault="00574ABA" w:rsidP="00574ABA">
            <w:pPr>
              <w:spacing w:before="20" w:after="0" w:line="240" w:lineRule="auto"/>
              <w:jc w:val="right"/>
              <w:rPr>
                <w:rFonts w:ascii="MingLiU" w:eastAsia="MingLiU" w:hAnsi="MingLiU" w:cs="Arial" w:hint="eastAsia"/>
                <w:color w:val="000000"/>
                <w:sz w:val="24"/>
                <w:szCs w:val="24"/>
                <w:lang w:eastAsia="ru-RU"/>
              </w:rPr>
            </w:pPr>
            <w:r w:rsidRPr="00574ABA">
              <w:rPr>
                <w:rFonts w:ascii="Times New Roman" w:eastAsia="MingLiU" w:hAnsi="Times New Roman" w:cs="Times New Roman"/>
                <w:color w:val="000000"/>
                <w:sz w:val="20"/>
                <w:szCs w:val="20"/>
                <w:lang w:val="en-US" w:eastAsia="ru-RU"/>
              </w:rPr>
              <w:t>========</w:t>
            </w:r>
          </w:p>
        </w:tc>
      </w:tr>
    </w:tbl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Основные причины роста маржи в алюминиевом сегменте раскрыты в разделах «Выручка», «Себестоимость реализации» и «Результаты операционной деятельности и скорректированная EBITDA» выше по тексту. Подробная отчётность по сегментам содержится в консолидированной финансовой отчётности за 2021 год.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320" w:lineRule="atLeast"/>
        <w:jc w:val="both"/>
        <w:rPr>
          <w:rFonts w:ascii="MingLiU" w:eastAsia="MingLiU" w:hAnsi="MingLiU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MingLiU" w:hAnsi="Times New Roman" w:cs="Times New Roman"/>
          <w:b/>
          <w:bCs/>
          <w:color w:val="000000"/>
          <w:u w:val="single"/>
          <w:lang w:eastAsia="ru-RU"/>
        </w:rPr>
        <w:t>Прогнозные заявления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Данный пресс-релиз содержит заявления, касающиеся будущих событий, предполагаемых показателей, прогнозов и ожиданий, которые представляют собой прогнозные заявления. Любое содержащееся в настоящем пресс-релизе заявление, не являющееся констатацией исторического факта, представляет собой прогнозное заявление, сопряжённое с известными и неизвестными рисками, неопределённостями и прочими факторами, в силу которых фактические результаты, показатели хозяйственной деятельности или достижения ОК РУСАЛ могут существенным образом отличаться от каких-либо результатов, показателей хозяйственной деятельности или достижений, выраженных в данных прогнозных заявлениях или подразумеваемых ими. В число таких рисков и неопределённостей входят риски и неопределённости, описанные или указанные в Проспекте эмиссии. Кроме того, деятельность Компании в прошлом не может быть основанием для прогнозирования ее деятельности в будущем. ОК РУСАЛ не предоставляет никаких заверений относительно достоверности и полноты любого из прогнозных заявлений и за исключением случаев, когда это может требоваться действующим законодательством, не принимает на себя никаких обязательств по дополнению, изменению, обновлению или пересмотру любых таких заявлений или любых выраженных мнений с учетом фактических результатов, изменений в предположениях или ожиданиях ОК РУСАЛ, или изменений факторов, влияющих на данные заявления. Таким образом, полагаясь на данные прогнозные заявления, Вы делаете это исключительно на свой риск.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компании</w:t>
      </w:r>
    </w:p>
    <w:p w:rsidR="00574ABA" w:rsidRPr="00574ABA" w:rsidRDefault="00574ABA" w:rsidP="00574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РУСАЛ (</w:t>
      </w:r>
      <w:hyperlink r:id="rId4" w:tgtFrame="_blank" w:history="1">
        <w:r w:rsidRPr="00574AB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www.rusal.ru</w:t>
        </w:r>
      </w:hyperlink>
      <w:r w:rsidRPr="00574ABA">
        <w:rPr>
          <w:rFonts w:ascii="Times New Roman" w:eastAsia="Times New Roman" w:hAnsi="Times New Roman" w:cs="Times New Roman"/>
          <w:color w:val="000000"/>
          <w:lang w:eastAsia="ru-RU"/>
        </w:rPr>
        <w:t>) – лидер мировой алюминиевой отрасли. Компания была создана в 2000 году Олегом Дерипаска. В 2021 году на долю компании приходилось около 5,6% мирового производства алюминия и 6,3% глинозема. РУСАЛ присутствует в 20 странах мира на 5 континентах. Обыкновенные акции РУСАЛа торгуются на Гонконгской фондовой бирже (торговый код 486). Обыкновенные акции РУСАЛа торгуются на Московской бирже (торговый код RUAL).</w:t>
      </w:r>
    </w:p>
    <w:p w:rsidR="000F7A16" w:rsidRDefault="000F7A16"/>
    <w:sectPr w:rsidR="000F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A"/>
    <w:rsid w:val="000F7A16"/>
    <w:rsid w:val="005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3042-0CBB-49CD-992F-E97FDDA8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95337a930b84c47msoplaintext">
    <w:name w:val="f95337a930b84c47msoplaintext"/>
    <w:basedOn w:val="a"/>
    <w:rsid w:val="0057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57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57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4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4ABA"/>
    <w:rPr>
      <w:color w:val="800080"/>
      <w:u w:val="single"/>
    </w:rPr>
  </w:style>
  <w:style w:type="character" w:customStyle="1" w:styleId="f18cb4e9688a3a75msofootnotereference">
    <w:name w:val="f18cb4e9688a3a75msofootnotereference"/>
    <w:basedOn w:val="a0"/>
    <w:rsid w:val="00574ABA"/>
  </w:style>
  <w:style w:type="paragraph" w:customStyle="1" w:styleId="48b0a36360d0385my0">
    <w:name w:val="48b0a36360d0385my0"/>
    <w:basedOn w:val="a"/>
    <w:rsid w:val="0057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ABA"/>
    <w:rPr>
      <w:b/>
      <w:bCs/>
    </w:rPr>
  </w:style>
  <w:style w:type="paragraph" w:customStyle="1" w:styleId="1a3bfce381caeb3ea8">
    <w:name w:val="1a3bfce381caeb3ea8"/>
    <w:basedOn w:val="a"/>
    <w:rsid w:val="0057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R:\Users\ErmoshkinFN\AppData\Local\Microsoft\Windows\INetCache\Content.Outlook\3OASJUWP\www.ru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2022-03-31T09:01:00Z</dcterms:created>
  <dcterms:modified xsi:type="dcterms:W3CDTF">2022-03-31T09:06:00Z</dcterms:modified>
</cp:coreProperties>
</file>