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5" w:rsidRPr="00790BFD" w:rsidRDefault="00D07405" w:rsidP="00D07405">
      <w:pPr>
        <w:pStyle w:val="2"/>
        <w:keepLines/>
        <w:widowControl w:val="0"/>
        <w:spacing w:line="240" w:lineRule="auto"/>
        <w:contextualSpacing/>
        <w:jc w:val="center"/>
        <w:rPr>
          <w:rFonts w:cs="Calibri"/>
          <w:b/>
        </w:rPr>
      </w:pPr>
      <w:r w:rsidRPr="00790BFD">
        <w:rPr>
          <w:b/>
        </w:rPr>
        <w:t xml:space="preserve">Информация о результатах проведения проверки в части выполнения показателей по совершенствованию системы оплаты труда педагогических работников дошкольного образования учреждений муниципального округа «Княжпогостский» </w:t>
      </w:r>
    </w:p>
    <w:p w:rsidR="00D07405" w:rsidRPr="00F67D6C" w:rsidRDefault="00D07405" w:rsidP="00D07405">
      <w:pPr>
        <w:tabs>
          <w:tab w:val="left" w:pos="0"/>
          <w:tab w:val="left" w:pos="426"/>
          <w:tab w:val="left" w:pos="1134"/>
        </w:tabs>
        <w:suppressAutoHyphens/>
        <w:autoSpaceDE w:val="0"/>
        <w:jc w:val="both"/>
      </w:pPr>
      <w:r w:rsidRPr="004D0019">
        <w:rPr>
          <w:sz w:val="26"/>
          <w:szCs w:val="26"/>
        </w:rPr>
        <w:tab/>
      </w:r>
      <w:r w:rsidRPr="00F67D6C">
        <w:t>В целях дальнейшего совершенствования государственной социальной политики Указом Президента Российской Федерации от 07 мая 2012 года № 597 Правительству Российской Федерации предписано обеспечить реализацию ряда мер по созданию благоприятных условий для устойчивого развития сферы дошкольного образования.</w:t>
      </w:r>
    </w:p>
    <w:p w:rsidR="00D07405" w:rsidRPr="00F67D6C" w:rsidRDefault="00D07405" w:rsidP="00D07405">
      <w:pPr>
        <w:pStyle w:val="a4"/>
        <w:jc w:val="both"/>
      </w:pPr>
      <w:r w:rsidRPr="00F67D6C">
        <w:tab/>
        <w:t xml:space="preserve">В целях сохранения кадрового потенциала, повышения престижности и привлекательности профессий в бюджетном секторе экономики распоряжением Правительства Российской Федерации от 26 ноября 2012 года № 2190-р утверждена Программа поэтапного совершенствования системы оплаты труда в государственных (муниципальных) учреждениях, обусловив повышение оплаты труда достижением конкретных показателей </w:t>
      </w:r>
      <w:bookmarkStart w:id="0" w:name="_GoBack"/>
      <w:bookmarkEnd w:id="0"/>
      <w:r w:rsidRPr="00F67D6C">
        <w:t xml:space="preserve">качества и количества оказываемых услуг и предусмотрев повышение средней заработной платы различных категорий работников. </w:t>
      </w:r>
    </w:p>
    <w:p w:rsidR="00D07405" w:rsidRPr="00F67D6C" w:rsidRDefault="00D07405" w:rsidP="00D07405">
      <w:pPr>
        <w:pStyle w:val="a4"/>
        <w:ind w:firstLine="709"/>
        <w:jc w:val="both"/>
      </w:pPr>
      <w:r w:rsidRPr="00F67D6C">
        <w:t>В соответствии с Указом Президента Российской Федерации от 7 мая 2012 года № 597 повышение оплаты труда работников бюджетной сферы обусловлено повышением количества и качества оказываемых услуг.</w:t>
      </w:r>
    </w:p>
    <w:p w:rsidR="00D07405" w:rsidRPr="00F67D6C" w:rsidRDefault="00D07405" w:rsidP="00D07405">
      <w:pPr>
        <w:pStyle w:val="a4"/>
        <w:ind w:firstLine="709"/>
        <w:jc w:val="both"/>
      </w:pPr>
      <w:r w:rsidRPr="00F67D6C">
        <w:t>В целях обеспечения реализации Указа Президента Российской Федерации от 7 мая 2012 года №597 предусмотрено оказание дополнительной финансовой помощи в виде субсидий на софинансирование расходных обязательств, связанных с повышением оплаты труда отдельных категорий работников социальной сферы.</w:t>
      </w:r>
    </w:p>
    <w:p w:rsidR="00D07405" w:rsidRDefault="00D07405" w:rsidP="00D07405">
      <w:pPr>
        <w:pStyle w:val="a4"/>
        <w:jc w:val="both"/>
        <w:rPr>
          <w:bCs/>
        </w:rPr>
      </w:pPr>
      <w:r>
        <w:t xml:space="preserve">    </w:t>
      </w:r>
      <w:r w:rsidRPr="00F67D6C">
        <w:t xml:space="preserve">В целях реализации распоряжения от 26 ноября 2013 года №2190-р администрацией муниципального района «Княжпогостский» были разработаны и утверждены планы мероприятий («дорожная карта») поэтапного совершенствования системы оплаты труда в </w:t>
      </w:r>
      <w:r w:rsidRPr="00F67D6C">
        <w:rPr>
          <w:color w:val="000000"/>
        </w:rPr>
        <w:t xml:space="preserve">отраслях социальной сферы, </w:t>
      </w:r>
      <w:r w:rsidRPr="00F67D6C">
        <w:t>повышение эффективности образования (</w:t>
      </w:r>
      <w:r w:rsidRPr="00F67D6C">
        <w:rPr>
          <w:bCs/>
        </w:rPr>
        <w:t>распоряжение администрации муниципального района «Княжпогостский» от 27.03.2013 № 42-р.</w:t>
      </w:r>
    </w:p>
    <w:p w:rsidR="00D07405" w:rsidRDefault="00D07405" w:rsidP="00D07405">
      <w:pPr>
        <w:pStyle w:val="a4"/>
        <w:ind w:firstLine="708"/>
        <w:jc w:val="both"/>
        <w:rPr>
          <w:color w:val="0F1115"/>
        </w:rPr>
      </w:pPr>
    </w:p>
    <w:p w:rsidR="00D07405" w:rsidRPr="00F67D6C" w:rsidRDefault="00D07405" w:rsidP="00D07405">
      <w:pPr>
        <w:pStyle w:val="a4"/>
        <w:ind w:firstLine="708"/>
        <w:jc w:val="both"/>
        <w:rPr>
          <w:color w:val="0F1115"/>
        </w:rPr>
      </w:pPr>
      <w:r w:rsidRPr="00F67D6C">
        <w:rPr>
          <w:color w:val="0F1115"/>
        </w:rPr>
        <w:t>Контрольно-счётной палатой МО «Княжпогостский» проведена проверка выполнения показателей по совершенствованию системы оплаты труда педагогических работников детских садов муниципального округа. Проверяемый период – 2024 год, объект – Управление образования администрации МО «Княжпогостский»: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Детский сад №8 комбинированного вида» г. Емвы (МАДОУ «Детский сад №8 комбинированного вида» г. Емвы);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«Детский сад №9 общеразвивающего вида» г. Емвы (МАДОУ «Детский сад №9 общеразвивающего вида» г. Емвы);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(МАДОУ «Детский сад №10 комбинированного вида» г. Емвы);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«Детский сад №10 комбинированного вида» г. Емвы (МАДОУ «Детский сад» пгт. Синдор);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«Детский сад» пст. Чиньяворык (МАДОУ «Детский сад» пст. Чиньяворык);</w:t>
      </w:r>
    </w:p>
    <w:p w:rsidR="00D07405" w:rsidRPr="00F67D6C" w:rsidRDefault="00D07405" w:rsidP="00D07405">
      <w:pPr>
        <w:pStyle w:val="a4"/>
        <w:jc w:val="both"/>
      </w:pPr>
      <w:r w:rsidRPr="00F67D6C">
        <w:t xml:space="preserve"> </w:t>
      </w:r>
      <w:r w:rsidRPr="00F67D6C">
        <w:tab/>
        <w:t>- Муниципальное автономное образовательное учреждение «Начальная школа-детский сад» г. Емвы (МАОУ «Начальная школа-детский сад" г. Емвы);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образовательное учреждение «СОШ им. А. Ларионова» г. Емвы (МБОУ «СОШ им. А. Ларионова» г. Емвы);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автономное общеобразовательное учреждение «Средняя общеобразовательная школа» с. Серёгово (МАОУ «Средняя общеобразовательная школа» с. Серёгово);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lastRenderedPageBreak/>
        <w:t>- Муниципальное бюджетное общеобразовательное учреждение «Средняя общеобразовательная школа» с. Шошка (МБОУ «Средняя общеобразовательная школа» с. Шошка);</w:t>
      </w:r>
    </w:p>
    <w:p w:rsidR="00D07405" w:rsidRPr="00F67D6C" w:rsidRDefault="00D07405" w:rsidP="00D07405">
      <w:pPr>
        <w:pStyle w:val="a4"/>
        <w:ind w:firstLine="708"/>
        <w:jc w:val="both"/>
      </w:pPr>
      <w:r w:rsidRPr="00F67D6C">
        <w:t>- Муниципальное бюджетное общеобразовательное учреждение «Средняя общеобразовательная школа» пгт. Синдор (МБОУ «Средняя общеобразовательная школа» пгт. Синдор).</w:t>
      </w:r>
    </w:p>
    <w:p w:rsidR="00D07405" w:rsidRPr="00F67D6C" w:rsidRDefault="00D07405" w:rsidP="00D07405">
      <w:pPr>
        <w:pStyle w:val="a4"/>
        <w:ind w:firstLine="708"/>
        <w:jc w:val="both"/>
        <w:rPr>
          <w:color w:val="0F1115"/>
        </w:rPr>
      </w:pPr>
      <w:r w:rsidRPr="00F67D6C">
        <w:t>По результатам проверки Контрольно-четной палатой установлено следующее.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rStyle w:val="a3"/>
          <w:color w:val="0F1115"/>
        </w:rPr>
        <w:t>Основные результаты:</w:t>
      </w:r>
      <w:r>
        <w:rPr>
          <w:rStyle w:val="a3"/>
          <w:color w:val="0F1115"/>
        </w:rPr>
        <w:tab/>
      </w:r>
    </w:p>
    <w:p w:rsidR="00D07405" w:rsidRPr="00F67D6C" w:rsidRDefault="00D07405" w:rsidP="00D07405">
      <w:pPr>
        <w:pStyle w:val="a4"/>
        <w:numPr>
          <w:ilvl w:val="0"/>
          <w:numId w:val="1"/>
        </w:numPr>
        <w:ind w:left="0" w:firstLine="0"/>
        <w:jc w:val="both"/>
        <w:rPr>
          <w:color w:val="0F1115"/>
        </w:rPr>
      </w:pPr>
      <w:r>
        <w:rPr>
          <w:color w:val="0F1115"/>
        </w:rPr>
        <w:t xml:space="preserve"> </w:t>
      </w:r>
      <w:r w:rsidRPr="00F67D6C">
        <w:rPr>
          <w:color w:val="0F1115"/>
        </w:rPr>
        <w:t>Установленный на 2024 год целевой показатель средней заработной платы педагогов дошкольного образования (50 262 руб</w:t>
      </w:r>
      <w:r>
        <w:rPr>
          <w:color w:val="0F1115"/>
        </w:rPr>
        <w:t>лей</w:t>
      </w:r>
      <w:r w:rsidRPr="00F67D6C">
        <w:rPr>
          <w:color w:val="0F1115"/>
        </w:rPr>
        <w:t>) в целом по округу выполнен – фактически средняя зарплата составила 50 266,25 руб</w:t>
      </w:r>
      <w:r>
        <w:rPr>
          <w:color w:val="0F1115"/>
        </w:rPr>
        <w:t>лей</w:t>
      </w:r>
      <w:r w:rsidRPr="00F67D6C">
        <w:rPr>
          <w:color w:val="0F1115"/>
        </w:rPr>
        <w:t xml:space="preserve"> (100,01%).</w:t>
      </w:r>
    </w:p>
    <w:p w:rsidR="00D07405" w:rsidRPr="00F67D6C" w:rsidRDefault="00D07405" w:rsidP="00D07405">
      <w:pPr>
        <w:pStyle w:val="a4"/>
        <w:numPr>
          <w:ilvl w:val="0"/>
          <w:numId w:val="1"/>
        </w:numPr>
        <w:ind w:left="0" w:firstLine="0"/>
        <w:jc w:val="both"/>
        <w:rPr>
          <w:color w:val="0F1115"/>
        </w:rPr>
      </w:pPr>
      <w:r w:rsidRPr="00F67D6C">
        <w:rPr>
          <w:color w:val="0F1115"/>
        </w:rPr>
        <w:t>При этом в </w:t>
      </w:r>
      <w:r w:rsidRPr="00F67D6C">
        <w:rPr>
          <w:rStyle w:val="a3"/>
          <w:color w:val="0F1115"/>
        </w:rPr>
        <w:t>6 из 10 учреждений</w:t>
      </w:r>
      <w:r w:rsidRPr="00F67D6C">
        <w:rPr>
          <w:color w:val="0F1115"/>
        </w:rPr>
        <w:t> фактическая зарплата педагогов оказалась ниже целевого уровня (от 56% до 98%), в </w:t>
      </w:r>
      <w:r w:rsidRPr="00F67D6C">
        <w:rPr>
          <w:rStyle w:val="a3"/>
          <w:color w:val="0F1115"/>
        </w:rPr>
        <w:t>4 учреждениях</w:t>
      </w:r>
      <w:r w:rsidRPr="00F67D6C">
        <w:rPr>
          <w:color w:val="0F1115"/>
        </w:rPr>
        <w:t> – выше (до 139%).</w:t>
      </w:r>
    </w:p>
    <w:p w:rsidR="00D07405" w:rsidRPr="00F67D6C" w:rsidRDefault="00D07405" w:rsidP="00D07405">
      <w:pPr>
        <w:pStyle w:val="a4"/>
        <w:numPr>
          <w:ilvl w:val="0"/>
          <w:numId w:val="1"/>
        </w:numPr>
        <w:ind w:left="0" w:firstLine="0"/>
        <w:jc w:val="both"/>
        <w:rPr>
          <w:color w:val="0F1115"/>
        </w:rPr>
      </w:pPr>
      <w:r w:rsidRPr="00F67D6C">
        <w:rPr>
          <w:color w:val="0F1115"/>
        </w:rPr>
        <w:t>Разрыв между минимальной (28 315 руб.) и максимальной (69 831 руб.) зарплатой по учреждениям превысил 41</w:t>
      </w:r>
      <w:r>
        <w:rPr>
          <w:color w:val="0F1115"/>
        </w:rPr>
        <w:t>,000</w:t>
      </w:r>
      <w:r w:rsidRPr="00F67D6C">
        <w:rPr>
          <w:color w:val="0F1115"/>
        </w:rPr>
        <w:t xml:space="preserve"> тыс. рублей.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rStyle w:val="a3"/>
          <w:color w:val="0F1115"/>
        </w:rPr>
        <w:t>Выявленные особенности: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color w:val="0F1115"/>
        </w:rPr>
        <w:t>В ряде учреждений снижение показателя связано с объективными причинами: неполная занятость педагогов, работа на 0,5–0,8 ставки, временная нетрудоспособность, приёмы/увольнения в середине года.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color w:val="0F1115"/>
        </w:rPr>
        <w:t>Превышение целевого уровня в некоторых детских садах обеспечено за счёт </w:t>
      </w:r>
      <w:r w:rsidRPr="00F67D6C">
        <w:rPr>
          <w:rStyle w:val="a3"/>
          <w:color w:val="0F1115"/>
        </w:rPr>
        <w:t>совмещения педагогами функций младшего персонала</w:t>
      </w:r>
      <w:r w:rsidRPr="00F67D6C">
        <w:rPr>
          <w:color w:val="0F1115"/>
        </w:rPr>
        <w:t> (воспитатели выполняли работу младших воспитателей, обслуживающего персонала) и </w:t>
      </w:r>
      <w:r w:rsidRPr="00F67D6C">
        <w:rPr>
          <w:rStyle w:val="a3"/>
          <w:color w:val="0F1115"/>
        </w:rPr>
        <w:t>разовых компенсационных выплат</w:t>
      </w:r>
      <w:r w:rsidRPr="00F67D6C">
        <w:rPr>
          <w:color w:val="0F1115"/>
        </w:rPr>
        <w:t> при увольнении. Это не отражает устойчивого роста оплаты педагогического труда и свидетельствует о кадровом дефиците обслуживающего персонала.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rStyle w:val="a3"/>
          <w:color w:val="0F1115"/>
        </w:rPr>
        <w:t>Рекомендации Контрольно-счётной палаты: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color w:val="0F1115"/>
        </w:rPr>
        <w:t>Проводить мониторинг финансового обеспечения зарплатных показателей.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color w:val="0F1115"/>
        </w:rPr>
        <w:t>Ежегодно разрабатывать «дорожную карту» по совершенствованию оплаты труда педагогов дошкольного образования.</w:t>
      </w:r>
    </w:p>
    <w:p w:rsidR="00D07405" w:rsidRPr="00F67D6C" w:rsidRDefault="00D07405" w:rsidP="00D07405">
      <w:pPr>
        <w:pStyle w:val="a4"/>
        <w:jc w:val="both"/>
        <w:rPr>
          <w:color w:val="0F1115"/>
        </w:rPr>
      </w:pPr>
      <w:r w:rsidRPr="00F67D6C">
        <w:rPr>
          <w:color w:val="0F1115"/>
        </w:rPr>
        <w:t>Обеспечить достоверность статистической отчётности и устранить практику выполнения педагогами несвойственных функций.</w:t>
      </w:r>
    </w:p>
    <w:p w:rsidR="005F3BAF" w:rsidRDefault="005F3BAF"/>
    <w:sectPr w:rsidR="005F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3F17"/>
    <w:multiLevelType w:val="hybridMultilevel"/>
    <w:tmpl w:val="6316B9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05"/>
    <w:rsid w:val="005F3BAF"/>
    <w:rsid w:val="00790BFD"/>
    <w:rsid w:val="00D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B089-ABD7-4914-BDEE-AF1A78B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0740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D074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Strong"/>
    <w:uiPriority w:val="22"/>
    <w:qFormat/>
    <w:rsid w:val="00D07405"/>
    <w:rPr>
      <w:b/>
      <w:bCs/>
    </w:rPr>
  </w:style>
  <w:style w:type="paragraph" w:styleId="a4">
    <w:name w:val="No Spacing"/>
    <w:link w:val="a5"/>
    <w:uiPriority w:val="1"/>
    <w:qFormat/>
    <w:rsid w:val="00D0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074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</cp:revision>
  <dcterms:created xsi:type="dcterms:W3CDTF">2026-03-20T11:19:00Z</dcterms:created>
  <dcterms:modified xsi:type="dcterms:W3CDTF">2026-03-20T11:19:00Z</dcterms:modified>
</cp:coreProperties>
</file>